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Building and Operating Quantum Computers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Building and Operating Quantum Computers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Building and Operating Quantum Computers,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What does it actually take to build and operate a quantum computer? This course goes inside the hardware, covering the cryogenics infrastructure (dilution refrigerators and emerging alternatives like magnetic cooling), the signal chains and control electronics that translate digital instructions into microwave pulses, the quantum software stack from pulse-level control to high-level programming, quantum-HPC integration architectures, facility requirements (power, vibration isolation, electromagnetic shielding), and total cost of ownership estimates. It also covers the Quantum Open Architecture (QOA) movement and what modular, component-based quantum computing means for the industry.</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Describe the physical infrastructure required for quantum computing (cryogenics, signal chains, shielding, power)</w:t>
      </w:r>
    </w:p>
    <w:p>
      <w:pPr>
        <w:pStyle w:val="ListParagraph"/>
        <w:numPr>
          <w:ilvl w:val="0"/>
          <w:numId w:val="2"/>
        </w:numPr>
        <w:spacing w:after="100" w:line="276"/>
      </w:pPr>
      <w:r>
        <w:rPr>
          <w:rFonts w:ascii="Calibri" w:cs="Calibri" w:eastAsia="Calibri" w:hAnsi="Calibri"/>
          <w:sz w:val="22"/>
          <w:szCs w:val="22"/>
        </w:rPr>
        <w:t xml:space="preserve">Evaluate the quantum software stack from pulse-level control through operating system to application framework</w:t>
      </w:r>
    </w:p>
    <w:p>
      <w:pPr>
        <w:pStyle w:val="ListParagraph"/>
        <w:numPr>
          <w:ilvl w:val="0"/>
          <w:numId w:val="2"/>
        </w:numPr>
        <w:spacing w:after="100" w:line="276"/>
      </w:pPr>
      <w:r>
        <w:rPr>
          <w:rFonts w:ascii="Calibri" w:cs="Calibri" w:eastAsia="Calibri" w:hAnsi="Calibri"/>
          <w:sz w:val="22"/>
          <w:szCs w:val="22"/>
        </w:rPr>
        <w:t xml:space="preserve">Assess quantum-HPC integration architectures and the classical computing requirements that quantum computers depend on</w:t>
      </w:r>
    </w:p>
    <w:p>
      <w:pPr>
        <w:pStyle w:val="ListParagraph"/>
        <w:numPr>
          <w:ilvl w:val="0"/>
          <w:numId w:val="2"/>
        </w:numPr>
        <w:spacing w:after="100" w:line="276"/>
      </w:pPr>
      <w:r>
        <w:rPr>
          <w:rFonts w:ascii="Calibri" w:cs="Calibri" w:eastAsia="Calibri" w:hAnsi="Calibri"/>
          <w:sz w:val="22"/>
          <w:szCs w:val="22"/>
        </w:rPr>
        <w:t xml:space="preserve">Estimate facility requirements and total cost of ownership for quantum computing installations</w:t>
      </w:r>
    </w:p>
    <w:p>
      <w:pPr>
        <w:pStyle w:val="ListParagraph"/>
        <w:numPr>
          <w:ilvl w:val="0"/>
          <w:numId w:val="2"/>
        </w:numPr>
        <w:spacing w:after="100" w:line="276"/>
      </w:pPr>
      <w:r>
        <w:rPr>
          <w:rFonts w:ascii="Calibri" w:cs="Calibri" w:eastAsia="Calibri" w:hAnsi="Calibri"/>
          <w:sz w:val="22"/>
          <w:szCs w:val="22"/>
        </w:rPr>
        <w:t xml:space="preserve">Evaluate the Quantum Open Architecture (QOA) movement and its implications for vendor lock-in and modularity</w:t>
      </w:r>
    </w:p>
    <w:p>
      <w:pPr>
        <w:pStyle w:val="ListParagraph"/>
        <w:numPr>
          <w:ilvl w:val="0"/>
          <w:numId w:val="2"/>
        </w:numPr>
        <w:spacing w:after="100" w:line="276"/>
      </w:pPr>
      <w:r>
        <w:rPr>
          <w:rFonts w:ascii="Calibri" w:cs="Calibri" w:eastAsia="Calibri" w:hAnsi="Calibri"/>
          <w:sz w:val="22"/>
          <w:szCs w:val="22"/>
        </w:rPr>
        <w:t xml:space="preserve">Assess emerging alternatives to current infrastructure approaches (magnetic cooling, room-temperature modalities)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https://quantumacademy.com/courses/building-operating-quantum-computers/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Building and Operating Quantum Computers</dc:title>
  <dc:creator>Post-Quantum Institute</dc:creator>
  <dc:description>Training request letter for Building and Operating Quantum Computers, Quantum Academy.</dc:description>
  <cp:lastModifiedBy>Un-named</cp:lastModifiedBy>
  <cp:revision>1</cp:revision>
  <dcterms:created xsi:type="dcterms:W3CDTF">2026-08-21T22:35:19.010Z</dcterms:created>
  <dcterms:modified xsi:type="dcterms:W3CDTF">2026-08-21T22:35:19.010Z</dcterms:modified>
</cp:coreProperties>
</file>

<file path=docProps/custom.xml><?xml version="1.0" encoding="utf-8"?>
<Properties xmlns="http://schemas.openxmlformats.org/officeDocument/2006/custom-properties" xmlns:vt="http://schemas.openxmlformats.org/officeDocument/2006/docPropsVTypes"/>
</file>