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CQTP Technology Professional Training</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CQTP Technology Professional Training</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CQTP Technology Professional Training,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Quantum computing is moving from laboratory demonstrations to early enterprise deployments. Cloud-accessible quantum processors are available from multiple providers. Hybrid quantum-classical architectures are being tested in finance, pharma, logistics, and materials science. Government investment programs are accelerating the timeline.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Explain how quantum computers work at a conceptual level sufficient for technical evaluation and decision-making</w:t>
      </w:r>
    </w:p>
    <w:p>
      <w:pPr>
        <w:pStyle w:val="ListParagraph"/>
        <w:numPr>
          <w:ilvl w:val="0"/>
          <w:numId w:val="2"/>
        </w:numPr>
        <w:spacing w:after="100" w:line="276"/>
      </w:pPr>
      <w:r>
        <w:rPr>
          <w:rFonts w:ascii="Calibri" w:cs="Calibri" w:eastAsia="Calibri" w:hAnsi="Calibri"/>
          <w:sz w:val="22"/>
          <w:szCs w:val="22"/>
        </w:rPr>
        <w:t xml:space="preserve">Evaluate the five major hardware modalities (superconducting, trapped-ion, photonic, neutral-atom, silicon-spin) based on published capabilities, error rates, connectivity, and scalability trajectories</w:t>
      </w:r>
    </w:p>
    <w:p>
      <w:pPr>
        <w:pStyle w:val="ListParagraph"/>
        <w:numPr>
          <w:ilvl w:val="0"/>
          <w:numId w:val="2"/>
        </w:numPr>
        <w:spacing w:after="100" w:line="276"/>
      </w:pPr>
      <w:r>
        <w:rPr>
          <w:rFonts w:ascii="Calibri" w:cs="Calibri" w:eastAsia="Calibri" w:hAnsi="Calibri"/>
          <w:sz w:val="22"/>
          <w:szCs w:val="22"/>
        </w:rPr>
        <w:t xml:space="preserve">Distinguish between NISQ-era capabilities and fault-tolerant quantum computing, and assess where each hardware approach stands on this trajectory</w:t>
      </w:r>
    </w:p>
    <w:p>
      <w:pPr>
        <w:pStyle w:val="ListParagraph"/>
        <w:numPr>
          <w:ilvl w:val="0"/>
          <w:numId w:val="2"/>
        </w:numPr>
        <w:spacing w:after="100" w:line="276"/>
      </w:pPr>
      <w:r>
        <w:rPr>
          <w:rFonts w:ascii="Calibri" w:cs="Calibri" w:eastAsia="Calibri" w:hAnsi="Calibri"/>
          <w:sz w:val="22"/>
          <w:szCs w:val="22"/>
        </w:rPr>
        <w:t xml:space="preserve">Evaluate quantum computing cloud platforms (IBM Quantum, Amazon Braket, Google Cloud, Azure Quantum, and others) based on access models, available hardware, development tools, and pricing</w:t>
      </w:r>
    </w:p>
    <w:p>
      <w:pPr>
        <w:pStyle w:val="ListParagraph"/>
        <w:numPr>
          <w:ilvl w:val="0"/>
          <w:numId w:val="2"/>
        </w:numPr>
        <w:spacing w:after="100" w:line="276"/>
      </w:pPr>
      <w:r>
        <w:rPr>
          <w:rFonts w:ascii="Calibri" w:cs="Calibri" w:eastAsia="Calibri" w:hAnsi="Calibri"/>
          <w:sz w:val="22"/>
          <w:szCs w:val="22"/>
        </w:rPr>
        <w:t xml:space="preserve">Assess quantum algorithm applicability for specific enterprise use cases in optimization, simulation, machine learning, and cryptography</w:t>
      </w:r>
    </w:p>
    <w:p>
      <w:pPr>
        <w:pStyle w:val="ListParagraph"/>
        <w:numPr>
          <w:ilvl w:val="0"/>
          <w:numId w:val="2"/>
        </w:numPr>
        <w:spacing w:after="100" w:line="276"/>
      </w:pPr>
      <w:r>
        <w:rPr>
          <w:rFonts w:ascii="Calibri" w:cs="Calibri" w:eastAsia="Calibri" w:hAnsi="Calibri"/>
          <w:sz w:val="22"/>
          <w:szCs w:val="22"/>
        </w:rPr>
        <w:t xml:space="preserve">Identify the infrastructure requirements for quantum computing integration, including classical computing resources, networking, data management, and workforce skills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The certification</w:t>
      </w:r>
    </w:p>
    <w:p>
      <w:pPr>
        <w:spacing w:after="160" w:line="276"/>
      </w:pPr>
      <w:r>
        <w:rPr>
          <w:rFonts w:ascii="Calibri" w:cs="Calibri" w:eastAsia="Calibri" w:hAnsi="Calibri"/>
          <w:sz w:val="22"/>
          <w:szCs w:val="22"/>
        </w:rPr>
        <w:t xml:space="preserve">This course prepares for the CQTP exam, which leads to the Certified Quantum Technology Professional credential. The exam is booked and paid for separately at US$599. It is a proctored, scenario-based assessment, and the credential is verifiable by any employer or client at its own verification domain. Certifications are valid for three years, renewed through continuing education included in the US$149 annual maintenance fee that covers all credentials held.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https://quantumacademy.com/courses/cqtp-technology-professional-training/</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CQTP Technology Professional Training</dc:title>
  <dc:creator>Post-Quantum Institute</dc:creator>
  <dc:description>Training request letter for CQTP Technology Professional Training, Quantum Academy.</dc:description>
  <cp:lastModifiedBy>Un-named</cp:lastModifiedBy>
  <cp:revision>1</cp:revision>
  <dcterms:created xsi:type="dcterms:W3CDTF">2026-08-21T22:35:19.172Z</dcterms:created>
  <dcterms:modified xsi:type="dcterms:W3CDTF">2026-08-21T22:35:19.172Z</dcterms:modified>
</cp:coreProperties>
</file>

<file path=docProps/custom.xml><?xml version="1.0" encoding="utf-8"?>
<Properties xmlns="http://schemas.openxmlformats.org/officeDocument/2006/custom-properties" xmlns:vt="http://schemas.openxmlformats.org/officeDocument/2006/docPropsVTypes"/>
</file>