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Hybrid Cryptographic Implementations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Hybrid Cryptographic Implementations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Hybrid Cryptographic Implementations,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Engineer hybrid PQC implementations. Covers key exchange, signatures, protocol integration, performance measurement, and exit planning.</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Implement hybrid key exchange in TLS 1.3 using the concatenation and combiner approaches</w:t>
      </w:r>
    </w:p>
    <w:p>
      <w:pPr>
        <w:pStyle w:val="ListParagraph"/>
        <w:numPr>
          <w:ilvl w:val="0"/>
          <w:numId w:val="2"/>
        </w:numPr>
        <w:spacing w:after="100" w:line="276"/>
      </w:pPr>
      <w:r>
        <w:rPr>
          <w:rFonts w:ascii="Calibri" w:cs="Calibri" w:eastAsia="Calibri" w:hAnsi="Calibri"/>
          <w:sz w:val="22"/>
          <w:szCs w:val="22"/>
        </w:rPr>
        <w:t xml:space="preserve">Choose between hybrid signature options and defend the choice against the maturity of each</w:t>
      </w:r>
    </w:p>
    <w:p>
      <w:pPr>
        <w:pStyle w:val="ListParagraph"/>
        <w:numPr>
          <w:ilvl w:val="0"/>
          <w:numId w:val="2"/>
        </w:numPr>
        <w:spacing w:after="100" w:line="276"/>
      </w:pPr>
      <w:r>
        <w:rPr>
          <w:rFonts w:ascii="Calibri" w:cs="Calibri" w:eastAsia="Calibri" w:hAnsi="Calibri"/>
          <w:sz w:val="22"/>
          <w:szCs w:val="22"/>
        </w:rPr>
        <w:t xml:space="preserve">Size the performance and message-length cost of hybrid deployment on your own protocols</w:t>
      </w:r>
    </w:p>
    <w:p>
      <w:pPr>
        <w:pStyle w:val="ListParagraph"/>
        <w:numPr>
          <w:ilvl w:val="0"/>
          <w:numId w:val="2"/>
        </w:numPr>
        <w:spacing w:after="100" w:line="276"/>
      </w:pPr>
      <w:r>
        <w:rPr>
          <w:rFonts w:ascii="Calibri" w:cs="Calibri" w:eastAsia="Calibri" w:hAnsi="Calibri"/>
          <w:sz w:val="22"/>
          <w:szCs w:val="22"/>
        </w:rPr>
        <w:t xml:space="preserve">Sequence a hybrid rollout so classical fallback never silently becomes the permanent state</w:t>
      </w:r>
    </w:p>
    <w:p>
      <w:pPr>
        <w:pStyle w:val="ListParagraph"/>
        <w:numPr>
          <w:ilvl w:val="0"/>
          <w:numId w:val="2"/>
        </w:numPr>
        <w:spacing w:after="100" w:line="276"/>
      </w:pPr>
      <w:r>
        <w:rPr>
          <w:rFonts w:ascii="Calibri" w:cs="Calibri" w:eastAsia="Calibri" w:hAnsi="Calibri"/>
          <w:sz w:val="22"/>
          <w:szCs w:val="22"/>
        </w:rPr>
        <w:t xml:space="preserve">Plan the exit: the criteria and steps for retiring the classical half later</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https://quantumacademy.com/courses/hybrid-cryptographic-implementations/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Hybrid Cryptographic Implementations</dc:title>
  <dc:creator>Post-Quantum Institute</dc:creator>
  <dc:description>Training request letter for Hybrid Cryptographic Implementations, Quantum Academy.</dc:description>
  <cp:lastModifiedBy>Un-named</cp:lastModifiedBy>
  <cp:revision>1</cp:revision>
  <dcterms:created xsi:type="dcterms:W3CDTF">2026-08-21T22:35:19.344Z</dcterms:created>
  <dcterms:modified xsi:type="dcterms:W3CDTF">2026-08-21T22:35:19.344Z</dcterms:modified>
</cp:coreProperties>
</file>

<file path=docProps/custom.xml><?xml version="1.0" encoding="utf-8"?>
<Properties xmlns="http://schemas.openxmlformats.org/officeDocument/2006/custom-properties" xmlns:vt="http://schemas.openxmlformats.org/officeDocument/2006/docPropsVTypes"/>
</file>