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Post-Quantum Foundation</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Post-Quantum Foundation</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Post-Quantum Foundation,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The transition to post-quantum cryptography is underway. NIST has finalized its first post-quantum standards. NSA's CNSA 2.0 timelines are active. Regulatory bodies in the US, EU, and Asia-Pacific are setting compliance deadlines. For security professionals, IT leaders, and anyone whose work touches cryptography, understanding this transition is no longer optional.</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how a cryptanalytically relevant quantum computer (CRQC) threatens current public-key cryptographic systems, including RSA, ECC, and Diffie-Hellman</w:t>
      </w:r>
    </w:p>
    <w:p>
      <w:pPr>
        <w:pStyle w:val="ListParagraph"/>
        <w:numPr>
          <w:ilvl w:val="0"/>
          <w:numId w:val="2"/>
        </w:numPr>
        <w:spacing w:after="100" w:line="276"/>
      </w:pPr>
      <w:r>
        <w:rPr>
          <w:rFonts w:ascii="Calibri" w:cs="Calibri" w:eastAsia="Calibri" w:hAnsi="Calibri"/>
          <w:sz w:val="22"/>
          <w:szCs w:val="22"/>
        </w:rPr>
        <w:t xml:space="preserve">Identify which systems and data in an organization are vulnerable to quantum-enabled attacks, including harvest-now-decrypt-later (HNDL) and Trust Now, Forge Later (TNFL) scenarios</w:t>
      </w:r>
    </w:p>
    <w:p>
      <w:pPr>
        <w:pStyle w:val="ListParagraph"/>
        <w:numPr>
          <w:ilvl w:val="0"/>
          <w:numId w:val="2"/>
        </w:numPr>
        <w:spacing w:after="100" w:line="276"/>
      </w:pPr>
      <w:r>
        <w:rPr>
          <w:rFonts w:ascii="Calibri" w:cs="Calibri" w:eastAsia="Calibri" w:hAnsi="Calibri"/>
          <w:sz w:val="22"/>
          <w:szCs w:val="22"/>
        </w:rPr>
        <w:t xml:space="preserve">Describe the four NIST standardized post-quantum algorithms – ML-KEM (formerly CRYSTALS-Kyber), ML-DSA (formerly CRYSTALS-Dilithium), SLH-DSA (formerly SPHINCS+), and FN-DSA (formerly FALCON) – and their intended use cases</w:t>
      </w:r>
    </w:p>
    <w:p>
      <w:pPr>
        <w:pStyle w:val="ListParagraph"/>
        <w:numPr>
          <w:ilvl w:val="0"/>
          <w:numId w:val="2"/>
        </w:numPr>
        <w:spacing w:after="100" w:line="276"/>
      </w:pPr>
      <w:r>
        <w:rPr>
          <w:rFonts w:ascii="Calibri" w:cs="Calibri" w:eastAsia="Calibri" w:hAnsi="Calibri"/>
          <w:sz w:val="22"/>
          <w:szCs w:val="22"/>
        </w:rPr>
        <w:t xml:space="preserve">Outline the regulatory and compliance environment driving PQC adoption, including CNSA 2.0, the EU Cybersecurity Act, and sector-specific mandates</w:t>
      </w:r>
    </w:p>
    <w:p>
      <w:pPr>
        <w:pStyle w:val="ListParagraph"/>
        <w:numPr>
          <w:ilvl w:val="0"/>
          <w:numId w:val="2"/>
        </w:numPr>
        <w:spacing w:after="100" w:line="276"/>
      </w:pPr>
      <w:r>
        <w:rPr>
          <w:rFonts w:ascii="Calibri" w:cs="Calibri" w:eastAsia="Calibri" w:hAnsi="Calibri"/>
          <w:sz w:val="22"/>
          <w:szCs w:val="22"/>
        </w:rPr>
        <w:t xml:space="preserve">Articulate the business case for starting PQC migration planning now, even while CRQC timelines remain uncertain</w:t>
      </w:r>
    </w:p>
    <w:p>
      <w:pPr>
        <w:pStyle w:val="ListParagraph"/>
        <w:numPr>
          <w:ilvl w:val="0"/>
          <w:numId w:val="2"/>
        </w:numPr>
        <w:spacing w:after="100" w:line="276"/>
      </w:pPr>
      <w:r>
        <w:rPr>
          <w:rFonts w:ascii="Calibri" w:cs="Calibri" w:eastAsia="Calibri" w:hAnsi="Calibri"/>
          <w:sz w:val="22"/>
          <w:szCs w:val="22"/>
        </w:rPr>
        <w:t xml:space="preserve">Apply Mosca's inequality as a decision framework for migration timing</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https://quantumacademy.com/courses/post-quantum-foundation/</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Post-Quantum Foundation</dc:title>
  <dc:creator>Post-Quantum Institute</dc:creator>
  <dc:description>Training request letter for Post-Quantum Foundation, Quantum Academy.</dc:description>
  <cp:lastModifiedBy>Un-named</cp:lastModifiedBy>
  <cp:revision>1</cp:revision>
  <dcterms:created xsi:type="dcterms:W3CDTF">2026-08-21T22:35:19.431Z</dcterms:created>
  <dcterms:modified xsi:type="dcterms:W3CDTF">2026-08-21T22:35:19.431Z</dcterms:modified>
</cp:coreProperties>
</file>

<file path=docProps/custom.xml><?xml version="1.0" encoding="utf-8"?>
<Properties xmlns="http://schemas.openxmlformats.org/officeDocument/2006/custom-properties" xmlns:vt="http://schemas.openxmlformats.org/officeDocument/2006/docPropsVTypes"/>
</file>