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for GRC Professionals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for GRC Professionals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for GRC Professionals,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GRC professionals are the governance backbone of PQC migration programs. They map regulatory requirements to migration activities, design evidence frameworks for audit, manage third-party risk in the context of vendor PQC readiness, and ensure that migration activities satisfy compliance obligations across multiple frameworks simultaneously.</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Map PQC requirements to ISO 27001, SOC 2, PCI DSS, HIPAA, CMMC, FedRAMP, DORA, and NIS2</w:t>
      </w:r>
    </w:p>
    <w:p>
      <w:pPr>
        <w:pStyle w:val="ListParagraph"/>
        <w:numPr>
          <w:ilvl w:val="0"/>
          <w:numId w:val="2"/>
        </w:numPr>
        <w:spacing w:after="100" w:line="276"/>
      </w:pPr>
      <w:r>
        <w:rPr>
          <w:rFonts w:ascii="Calibri" w:cs="Calibri" w:eastAsia="Calibri" w:hAnsi="Calibri"/>
          <w:sz w:val="22"/>
          <w:szCs w:val="22"/>
        </w:rPr>
        <w:t xml:space="preserve">Design risk assessment methodologies for quantum exposure</w:t>
      </w:r>
    </w:p>
    <w:p>
      <w:pPr>
        <w:pStyle w:val="ListParagraph"/>
        <w:numPr>
          <w:ilvl w:val="0"/>
          <w:numId w:val="2"/>
        </w:numPr>
        <w:spacing w:after="100" w:line="276"/>
      </w:pPr>
      <w:r>
        <w:rPr>
          <w:rFonts w:ascii="Calibri" w:cs="Calibri" w:eastAsia="Calibri" w:hAnsi="Calibri"/>
          <w:sz w:val="22"/>
          <w:szCs w:val="22"/>
        </w:rPr>
        <w:t xml:space="preserve">Define audit evidence and documentation requirements for PQC migration</w:t>
      </w:r>
    </w:p>
    <w:p>
      <w:pPr>
        <w:pStyle w:val="ListParagraph"/>
        <w:numPr>
          <w:ilvl w:val="0"/>
          <w:numId w:val="2"/>
        </w:numPr>
        <w:spacing w:after="100" w:line="276"/>
      </w:pPr>
      <w:r>
        <w:rPr>
          <w:rFonts w:ascii="Calibri" w:cs="Calibri" w:eastAsia="Calibri" w:hAnsi="Calibri"/>
          <w:sz w:val="22"/>
          <w:szCs w:val="22"/>
        </w:rPr>
        <w:t xml:space="preserve">Assess third-party and vendor quantum readiness through structured evaluation</w:t>
      </w:r>
    </w:p>
    <w:p>
      <w:pPr>
        <w:pStyle w:val="ListParagraph"/>
        <w:numPr>
          <w:ilvl w:val="0"/>
          <w:numId w:val="2"/>
        </w:numPr>
        <w:spacing w:after="100" w:line="276"/>
      </w:pPr>
      <w:r>
        <w:rPr>
          <w:rFonts w:ascii="Calibri" w:cs="Calibri" w:eastAsia="Calibri" w:hAnsi="Calibri"/>
          <w:sz w:val="22"/>
          <w:szCs w:val="22"/>
        </w:rPr>
        <w:t xml:space="preserve">Build the regulatory horizon-scanning function as a standing role</w:t>
      </w:r>
    </w:p>
    <w:p>
      <w:pPr>
        <w:pStyle w:val="ListParagraph"/>
        <w:numPr>
          <w:ilvl w:val="0"/>
          <w:numId w:val="2"/>
        </w:numPr>
        <w:spacing w:after="100" w:line="276"/>
      </w:pPr>
      <w:r>
        <w:rPr>
          <w:rFonts w:ascii="Calibri" w:cs="Calibri" w:eastAsia="Calibri" w:hAnsi="Calibri"/>
          <w:sz w:val="22"/>
          <w:szCs w:val="22"/>
        </w:rPr>
        <w:t xml:space="preserve">Structure board-level risk reporting on PQC program status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https://quantumacademy.com/courses/pqc-for-grc/</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for GRC Professionals</dc:title>
  <dc:creator>Post-Quantum Institute</dc:creator>
  <dc:description>Training request letter for PQC for GRC Professionals, Quantum Academy.</dc:description>
  <cp:lastModifiedBy>Un-named</cp:lastModifiedBy>
  <cp:revision>1</cp:revision>
  <dcterms:created xsi:type="dcterms:W3CDTF">2026-08-21T22:35:19.454Z</dcterms:created>
  <dcterms:modified xsi:type="dcterms:W3CDTF">2026-08-21T22:35:19.454Z</dcterms:modified>
</cp:coreProperties>
</file>

<file path=docProps/custom.xml><?xml version="1.0" encoding="utf-8"?>
<Properties xmlns="http://schemas.openxmlformats.org/officeDocument/2006/custom-properties" xmlns:vt="http://schemas.openxmlformats.org/officeDocument/2006/docPropsVTypes"/>
</file>