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rFonts w:ascii="Calibri" w:cs="Calibri" w:eastAsia="Calibri" w:hAnsi="Calibri"/>
          <w:b/>
          <w:bCs/>
          <w:color w:val="9A7B3F"/>
          <w:spacing w:val="40"/>
          <w:sz w:val="18"/>
          <w:szCs w:val="18"/>
        </w:rPr>
        <w:t xml:space="preserve">QUANTUM ACADEMY</w:t>
      </w:r>
    </w:p>
    <w:p>
      <w:pPr>
        <w:pStyle w:val="Heading1"/>
        <w:spacing w:after="120"/>
      </w:pPr>
      <w:r>
        <w:rPr>
          <w:rFonts w:ascii="Calibri" w:cs="Calibri" w:eastAsia="Calibri" w:hAnsi="Calibri"/>
          <w:b/>
          <w:bCs/>
          <w:color w:val="14202E"/>
          <w:sz w:val="34"/>
          <w:szCs w:val="34"/>
        </w:rPr>
        <w:t xml:space="preserve">Justify your training</w:t>
      </w:r>
    </w:p>
    <w:p>
      <w:pPr>
        <w:spacing w:after="140" w:line="276"/>
      </w:pPr>
      <w:r>
        <w:rPr>
          <w:rFonts w:ascii="Calibri" w:cs="Calibri" w:eastAsia="Calibri" w:hAnsi="Calibri"/>
          <w:b/>
          <w:bCs/>
          <w:sz w:val="24"/>
          <w:szCs w:val="24"/>
        </w:rPr>
        <w:t xml:space="preserve">PQC Migration Project Management</w:t>
      </w:r>
    </w:p>
    <w:p>
      <w:pPr>
        <w:spacing w:after="160" w:line="276"/>
      </w:pPr>
      <w:r>
        <w:rPr>
          <w:rFonts w:ascii="Calibri" w:cs="Calibri" w:eastAsia="Calibri" w:hAnsi="Calibri"/>
          <w:i/>
          <w:iCs/>
          <w:color w:val="5A6672"/>
          <w:sz w:val="20"/>
          <w:szCs w:val="20"/>
        </w:rPr>
        <w:t xml:space="preserve">Use this letter, or the parts of it that fit, to ask for the time and budget to take this course. Paste it into an email to whoever approves training, then replace every bracketed field and cut anything that does not apply to your organization. The more of it you make your own, the better it works.</w:t>
      </w:r>
    </w:p>
    <w:p>
      <w:pPr>
        <w:pBdr>
          <w:bottom w:val="single" w:color="D5D9DE" w:sz="6"/>
        </w:pBdr>
        <w:spacing w:after="200" w:before="200"/>
      </w:pPr>
      <w:r>
        <w:rPr>
          <w:sz w:val="2"/>
          <w:szCs w:val="2"/>
        </w:rPr>
        <w:t xml:space="preserve"/>
      </w:r>
    </w:p>
    <w:p>
      <w:pPr>
        <w:spacing w:after="160" w:line="276"/>
      </w:pPr>
      <w:r>
        <w:rPr>
          <w:rFonts w:ascii="Calibri" w:cs="Calibri" w:eastAsia="Calibri" w:hAnsi="Calibri"/>
          <w:b/>
          <w:bCs/>
          <w:sz w:val="22"/>
          <w:szCs w:val="22"/>
        </w:rPr>
        <w:t xml:space="preserve">Training request: PQC Migration Project Management</w:t>
      </w:r>
    </w:p>
    <w:p>
      <w:pPr>
        <w:spacing w:after="140" w:line="276"/>
      </w:pPr>
      <w:r>
        <w:rPr>
          <w:rFonts w:ascii="Calibri" w:cs="Calibri" w:eastAsia="Calibri" w:hAnsi="Calibri"/>
          <w:sz w:val="22"/>
          <w:szCs w:val="22"/>
        </w:rPr>
        <w:t xml:space="preserve">[Approver name],</w:t>
      </w:r>
    </w:p>
    <w:p>
      <w:pPr>
        <w:spacing w:after="160" w:line="276"/>
      </w:pPr>
      <w:r>
        <w:rPr>
          <w:rFonts w:ascii="Calibri" w:cs="Calibri" w:eastAsia="Calibri" w:hAnsi="Calibri"/>
          <w:sz w:val="22"/>
          <w:szCs w:val="22"/>
        </w:rPr>
        <w:t xml:space="preserve">I would like to request time and budget approval to take PQC Migration Project Management, a professional training course from Quantum Academy.</w:t>
      </w:r>
    </w:p>
    <w:p>
      <w:pPr>
        <w:spacing w:after="160" w:line="276"/>
      </w:pPr>
      <w:r>
        <w:rPr>
          <w:rFonts w:ascii="Calibri" w:cs="Calibri" w:eastAsia="Calibri" w:hAnsi="Calibri"/>
          <w:sz w:val="22"/>
          <w:szCs w:val="22"/>
        </w:rPr>
        <w:t xml:space="preserve">Below is what the course covers, what I will be able to do once I have finished it, why the timing matters for us, and what it costs.</w:t>
      </w:r>
    </w:p>
    <w:p>
      <w:pPr>
        <w:pStyle w:val="Heading2"/>
        <w:spacing w:after="120" w:before="300"/>
      </w:pPr>
      <w:r>
        <w:rPr>
          <w:rFonts w:ascii="Calibri" w:cs="Calibri" w:eastAsia="Calibri" w:hAnsi="Calibri"/>
          <w:b/>
          <w:bCs/>
          <w:color w:val="14202E"/>
          <w:sz w:val="24"/>
          <w:szCs w:val="24"/>
        </w:rPr>
        <w:t xml:space="preserve">About the course</w:t>
      </w:r>
    </w:p>
    <w:p>
      <w:pPr>
        <w:spacing w:after="160" w:line="276"/>
      </w:pPr>
      <w:r>
        <w:rPr>
          <w:rFonts w:ascii="Calibri" w:cs="Calibri" w:eastAsia="Calibri" w:hAnsi="Calibri"/>
          <w:sz w:val="22"/>
          <w:szCs w:val="22"/>
        </w:rPr>
        <w:t xml:space="preserve">A PQC migration program at a critical national infrastructure operator generated over 120,000 discrete tasks. For every direct cryptographic upgrade task, there were approximately three tasks of organizational, procedural, and infrastructural work. That 1:3 ratio is the single most important planning parameter for PQC migration: the supporting work dwarfs the technical work by a factor of three. This is not a technology project. It is an enterprise transformation that happens to involve technology.</w:t>
      </w:r>
    </w:p>
    <w:p>
      <w:pPr>
        <w:pStyle w:val="Heading2"/>
        <w:spacing w:after="120" w:before="300"/>
      </w:pPr>
      <w:r>
        <w:rPr>
          <w:rFonts w:ascii="Calibri" w:cs="Calibri" w:eastAsia="Calibri" w:hAnsi="Calibri"/>
          <w:b/>
          <w:bCs/>
          <w:color w:val="14202E"/>
          <w:sz w:val="24"/>
          <w:szCs w:val="24"/>
        </w:rPr>
        <w:t xml:space="preserve">What I will be able to do afterward</w:t>
      </w:r>
    </w:p>
    <w:p>
      <w:pPr>
        <w:spacing w:after="100" w:line="276"/>
      </w:pPr>
      <w:r>
        <w:rPr>
          <w:rFonts w:ascii="Calibri" w:cs="Calibri" w:eastAsia="Calibri" w:hAnsi="Calibri"/>
          <w:sz w:val="22"/>
          <w:szCs w:val="22"/>
        </w:rPr>
        <w:t xml:space="preserve">Once I have completed the course, I will be able to:</w:t>
      </w:r>
    </w:p>
    <w:p>
      <w:pPr>
        <w:pStyle w:val="ListParagraph"/>
        <w:numPr>
          <w:ilvl w:val="0"/>
          <w:numId w:val="2"/>
        </w:numPr>
        <w:spacing w:after="100" w:line="276"/>
      </w:pPr>
      <w:r>
        <w:rPr>
          <w:rFonts w:ascii="Calibri" w:cs="Calibri" w:eastAsia="Calibri" w:hAnsi="Calibri"/>
          <w:sz w:val="22"/>
          <w:szCs w:val="22"/>
        </w:rPr>
        <w:t xml:space="preserve">Scope a PQC migration program using documented scale benchmarks and the 1:3 ratio</w:t>
      </w:r>
    </w:p>
    <w:p>
      <w:pPr>
        <w:pStyle w:val="ListParagraph"/>
        <w:numPr>
          <w:ilvl w:val="0"/>
          <w:numId w:val="2"/>
        </w:numPr>
        <w:spacing w:after="100" w:line="276"/>
      </w:pPr>
      <w:r>
        <w:rPr>
          <w:rFonts w:ascii="Calibri" w:cs="Calibri" w:eastAsia="Calibri" w:hAnsi="Calibri"/>
          <w:sz w:val="22"/>
          <w:szCs w:val="22"/>
        </w:rPr>
        <w:t xml:space="preserve">Design governance structures that work for multi-year cryptographic transitions</w:t>
      </w:r>
    </w:p>
    <w:p>
      <w:pPr>
        <w:pStyle w:val="ListParagraph"/>
        <w:numPr>
          <w:ilvl w:val="0"/>
          <w:numId w:val="2"/>
        </w:numPr>
        <w:spacing w:after="100" w:line="276"/>
      </w:pPr>
      <w:r>
        <w:rPr>
          <w:rFonts w:ascii="Calibri" w:cs="Calibri" w:eastAsia="Calibri" w:hAnsi="Calibri"/>
          <w:sz w:val="22"/>
          <w:szCs w:val="22"/>
        </w:rPr>
        <w:t xml:space="preserve">Plan multi-year funding that survives annual budget cycles</w:t>
      </w:r>
    </w:p>
    <w:p>
      <w:pPr>
        <w:pStyle w:val="ListParagraph"/>
        <w:numPr>
          <w:ilvl w:val="0"/>
          <w:numId w:val="2"/>
        </w:numPr>
        <w:spacing w:after="100" w:line="276"/>
      </w:pPr>
      <w:r>
        <w:rPr>
          <w:rFonts w:ascii="Calibri" w:cs="Calibri" w:eastAsia="Calibri" w:hAnsi="Calibri"/>
          <w:sz w:val="22"/>
          <w:szCs w:val="22"/>
        </w:rPr>
        <w:t xml:space="preserve">Compose teams across the five bench areas (cryptographic engineering, infrastructure/PKI, vendor management, GRC, program management)</w:t>
      </w:r>
    </w:p>
    <w:p>
      <w:pPr>
        <w:pStyle w:val="ListParagraph"/>
        <w:numPr>
          <w:ilvl w:val="0"/>
          <w:numId w:val="2"/>
        </w:numPr>
        <w:spacing w:after="100" w:line="276"/>
      </w:pPr>
      <w:r>
        <w:rPr>
          <w:rFonts w:ascii="Calibri" w:cs="Calibri" w:eastAsia="Calibri" w:hAnsi="Calibri"/>
          <w:sz w:val="22"/>
          <w:szCs w:val="22"/>
        </w:rPr>
        <w:t xml:space="preserve">Build phased migration plans using the Applied Quantum PQC Migration Framework</w:t>
      </w:r>
    </w:p>
    <w:p>
      <w:pPr>
        <w:pStyle w:val="ListParagraph"/>
        <w:numPr>
          <w:ilvl w:val="0"/>
          <w:numId w:val="2"/>
        </w:numPr>
        <w:spacing w:after="100" w:line="276"/>
      </w:pPr>
      <w:r>
        <w:rPr>
          <w:rFonts w:ascii="Calibri" w:cs="Calibri" w:eastAsia="Calibri" w:hAnsi="Calibri"/>
          <w:sz w:val="22"/>
          <w:szCs w:val="22"/>
        </w:rPr>
        <w:t xml:space="preserve">Manage cross-functional dependencies across vendor timelines, internal readiness, and regulatory dates</w:t>
      </w:r>
    </w:p>
    <w:p>
      <w:pPr>
        <w:pStyle w:val="Heading2"/>
        <w:spacing w:after="120" w:before="300"/>
      </w:pPr>
      <w:r>
        <w:rPr>
          <w:rFonts w:ascii="Calibri" w:cs="Calibri" w:eastAsia="Calibri" w:hAnsi="Calibri"/>
          <w:b/>
          <w:bCs/>
          <w:color w:val="14202E"/>
          <w:sz w:val="24"/>
          <w:szCs w:val="24"/>
        </w:rPr>
        <w:t xml:space="preserve">Why this is worth doing now</w:t>
      </w:r>
    </w:p>
    <w:p>
      <w:pPr>
        <w:pStyle w:val="ListParagraph"/>
        <w:numPr>
          <w:ilvl w:val="0"/>
          <w:numId w:val="2"/>
        </w:numPr>
        <w:spacing w:after="100" w:line="276"/>
      </w:pPr>
      <w:r>
        <w:rPr>
          <w:rFonts w:ascii="Calibri" w:cs="Calibri" w:eastAsia="Calibri" w:hAnsi="Calibri"/>
          <w:sz w:val="22"/>
          <w:szCs w:val="22"/>
        </w:rPr>
        <w:t xml:space="preserve">NIST finalized FIPS 203, 204, and 205 in August 2024, so post-quantum algorithm selection is now a standards-compliance question rather than a research one</w:t>
      </w:r>
    </w:p>
    <w:p>
      <w:pPr>
        <w:pStyle w:val="ListParagraph"/>
        <w:numPr>
          <w:ilvl w:val="0"/>
          <w:numId w:val="2"/>
        </w:numPr>
        <w:spacing w:after="100" w:line="276"/>
      </w:pPr>
      <w:r>
        <w:rPr>
          <w:rFonts w:ascii="Calibri" w:cs="Calibri" w:eastAsia="Calibri" w:hAnsi="Calibri"/>
          <w:sz w:val="22"/>
          <w:szCs w:val="22"/>
        </w:rPr>
        <w:t xml:space="preserve">Buyers, auditors, and cyber insurers have started asking for post-quantum readiness evidence in questionnaires and contract schedules</w:t>
      </w:r>
    </w:p>
    <w:p>
      <w:pPr>
        <w:pStyle w:val="ListParagraph"/>
        <w:numPr>
          <w:ilvl w:val="0"/>
          <w:numId w:val="2"/>
        </w:numPr>
        <w:spacing w:after="100" w:line="276"/>
      </w:pPr>
      <w:r>
        <w:rPr>
          <w:rFonts w:ascii="Calibri" w:cs="Calibri" w:eastAsia="Calibri" w:hAnsi="Calibri"/>
          <w:sz w:val="22"/>
          <w:szCs w:val="22"/>
        </w:rPr>
        <w:t xml:space="preserve">Migration planning depends on people who can read the standards accurately, and that capability has to be built before the work is scheduled</w:t>
      </w:r>
    </w:p>
    <w:p>
      <w:pPr>
        <w:pStyle w:val="Heading2"/>
        <w:spacing w:after="120" w:before="300"/>
      </w:pPr>
      <w:r>
        <w:rPr>
          <w:rFonts w:ascii="Calibri" w:cs="Calibri" w:eastAsia="Calibri" w:hAnsi="Calibri"/>
          <w:b/>
          <w:bCs/>
          <w:color w:val="14202E"/>
          <w:sz w:val="24"/>
          <w:szCs w:val="24"/>
        </w:rPr>
        <w:t xml:space="preserve">What we get to keep</w:t>
      </w:r>
    </w:p>
    <w:p>
      <w:pPr>
        <w:spacing w:after="100" w:line="276"/>
      </w:pPr>
      <w:r>
        <w:rPr>
          <w:rFonts w:ascii="Calibri" w:cs="Calibri" w:eastAsia="Calibri" w:hAnsi="Calibri"/>
          <w:sz w:val="22"/>
          <w:szCs w:val="22"/>
        </w:rPr>
        <w:t xml:space="preserve">The materials stay with us after the course, which is part of why I am asking for this one rather than a conference session:</w:t>
      </w:r>
    </w:p>
    <w:p>
      <w:pPr>
        <w:pStyle w:val="ListParagraph"/>
        <w:numPr>
          <w:ilvl w:val="0"/>
          <w:numId w:val="2"/>
        </w:numPr>
        <w:spacing w:after="100" w:line="276"/>
      </w:pPr>
      <w:r>
        <w:rPr>
          <w:rFonts w:ascii="Calibri" w:cs="Calibri" w:eastAsia="Calibri" w:hAnsi="Calibri"/>
          <w:sz w:val="22"/>
          <w:szCs w:val="22"/>
        </w:rPr>
        <w:t xml:space="preserve">The full course handbook as a PDF: every slide with the instructor notes written out, so it works as a reference afterward rather than a set of bullets I have to reconstruct from memory. I can share it with the team.</w:t>
      </w:r>
    </w:p>
    <w:p>
      <w:pPr>
        <w:pStyle w:val="ListParagraph"/>
        <w:numPr>
          <w:ilvl w:val="0"/>
          <w:numId w:val="2"/>
        </w:numPr>
        <w:spacing w:after="100" w:line="276"/>
      </w:pPr>
      <w:r>
        <w:rPr>
          <w:rFonts w:ascii="Calibri" w:cs="Calibri" w:eastAsia="Calibri" w:hAnsi="Calibri"/>
          <w:sz w:val="22"/>
          <w:szCs w:val="22"/>
        </w:rPr>
        <w:t xml:space="preserve">A PDF copy of Quantum Ready (quantumready.com), included with the course at no extra cost. It is the reference text behind the material and it stays on our shelf.</w:t>
      </w:r>
    </w:p>
    <w:p>
      <w:pPr>
        <w:pStyle w:val="ListParagraph"/>
        <w:numPr>
          <w:ilvl w:val="0"/>
          <w:numId w:val="2"/>
        </w:numPr>
        <w:spacing w:after="100" w:line="276"/>
      </w:pPr>
      <w:r>
        <w:rPr>
          <w:rFonts w:ascii="Calibri" w:cs="Calibri" w:eastAsia="Calibri" w:hAnsi="Calibri"/>
          <w:sz w:val="22"/>
          <w:szCs w:val="22"/>
        </w:rPr>
        <w:t xml:space="preserve">[If the course lists worksheets, templates, or models, name the ones that matter to us here.]</w:t>
      </w:r>
    </w:p>
    <w:p>
      <w:pPr>
        <w:pStyle w:val="Heading2"/>
        <w:spacing w:after="120" w:before="300"/>
      </w:pPr>
      <w:r>
        <w:rPr>
          <w:rFonts w:ascii="Calibri" w:cs="Calibri" w:eastAsia="Calibri" w:hAnsi="Calibri"/>
          <w:b/>
          <w:bCs/>
          <w:color w:val="14202E"/>
          <w:sz w:val="24"/>
          <w:szCs w:val="24"/>
        </w:rPr>
        <w:t xml:space="preserve">Cost</w:t>
      </w:r>
    </w:p>
    <w:p>
      <w:pPr>
        <w:spacing w:after="160" w:line="276"/>
      </w:pPr>
      <w:r>
        <w:rPr>
          <w:rFonts w:ascii="Calibri" w:cs="Calibri" w:eastAsia="Calibri" w:hAnsi="Calibri"/>
          <w:sz w:val="22"/>
          <w:szCs w:val="22"/>
        </w:rPr>
        <w:t xml:space="preserve">I would like to take this course [choose one: online on-demand, at my own pace / live online on the session running from [start date] to [end date] / in person at [location] from [start date] to [end date] / as private team training for our group]. Current prices for each format are on the course page linked below.</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6000"/>
        <w:gridCol w:w="3360"/>
      </w:tblGrid>
      <w:tr>
        <w:trPr>
          <w:tblHeader/>
        </w:trPr>
        <w:tc>
          <w:tcPr>
            <w:tcW w:type="dxa" w:w="6000"/>
            <w:shd w:fill="F1F3F5" w:color="auto" w:val="clear"/>
            <w:tcMar>
              <w:top w:type="dxa" w:w="80"/>
              <w:left w:type="dxa" w:w="120"/>
              <w:bottom w:type="dxa" w:w="80"/>
              <w:right w:type="dxa" w:w="120"/>
            </w:tcMar>
          </w:tcPr>
          <w:p>
            <w:pPr>
              <w:spacing w:after="0"/>
            </w:pPr>
            <w:r>
              <w:rPr>
                <w:rFonts w:ascii="Calibri" w:cs="Calibri" w:eastAsia="Calibri" w:hAnsi="Calibri"/>
                <w:b/>
                <w:bCs/>
                <w:sz w:val="22"/>
                <w:szCs w:val="22"/>
              </w:rPr>
              <w:t xml:space="preserve">Item</w:t>
            </w:r>
          </w:p>
        </w:tc>
        <w:tc>
          <w:tcPr>
            <w:tcW w:type="dxa" w:w="3360"/>
            <w:shd w:fill="F1F3F5" w:color="auto" w:val="clear"/>
            <w:tcMar>
              <w:top w:type="dxa" w:w="80"/>
              <w:left w:type="dxa" w:w="120"/>
              <w:bottom w:type="dxa" w:w="80"/>
              <w:right w:type="dxa" w:w="120"/>
            </w:tcMar>
          </w:tcPr>
          <w:p>
            <w:pPr>
              <w:spacing w:after="0"/>
            </w:pPr>
            <w:r>
              <w:rPr>
                <w:rFonts w:ascii="Calibri" w:cs="Calibri" w:eastAsia="Calibri" w:hAnsi="Calibri"/>
                <w:b/>
                <w:bCs/>
                <w:sz w:val="22"/>
                <w:szCs w:val="22"/>
              </w:rPr>
              <w:t xml:space="preserve">Amount</w:t>
            </w:r>
          </w:p>
        </w:tc>
      </w:tr>
      <w:tr>
        <w:tc>
          <w:tcPr>
            <w:tcW w:type="dxa" w:w="600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Course fee</w:t>
            </w:r>
          </w:p>
        </w:tc>
        <w:tc>
          <w:tcPr>
            <w:tcW w:type="dxa" w:w="336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[from the course page]</w:t>
            </w:r>
          </w:p>
        </w:tc>
      </w:tr>
      <w:tr>
        <w:tc>
          <w:tcPr>
            <w:tcW w:type="dxa" w:w="600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Certification exam fee, if taken</w:t>
            </w:r>
          </w:p>
        </w:tc>
        <w:tc>
          <w:tcPr>
            <w:tcW w:type="dxa" w:w="336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[exam fee]</w:t>
            </w:r>
          </w:p>
        </w:tc>
      </w:tr>
      <w:tr>
        <w:tc>
          <w:tcPr>
            <w:tcW w:type="dxa" w:w="600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Travel and accommodation, in-person only</w:t>
            </w:r>
          </w:p>
        </w:tc>
        <w:tc>
          <w:tcPr>
            <w:tcW w:type="dxa" w:w="336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[amount]</w:t>
            </w:r>
          </w:p>
        </w:tc>
      </w:tr>
      <w:tr>
        <w:tc>
          <w:tcPr>
            <w:tcW w:type="dxa" w:w="600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Time away from work</w:t>
            </w:r>
          </w:p>
        </w:tc>
        <w:tc>
          <w:tcPr>
            <w:tcW w:type="dxa" w:w="336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[days]</w:t>
            </w:r>
          </w:p>
        </w:tc>
      </w:tr>
      <w:tr>
        <w:tc>
          <w:tcPr>
            <w:tcW w:type="dxa" w:w="6000"/>
            <w:tcMar>
              <w:top w:type="dxa" w:w="80"/>
              <w:left w:type="dxa" w:w="120"/>
              <w:bottom w:type="dxa" w:w="80"/>
              <w:right w:type="dxa" w:w="120"/>
            </w:tcMar>
          </w:tcPr>
          <w:p>
            <w:pPr>
              <w:spacing w:after="0"/>
            </w:pPr>
            <w:r>
              <w:rPr>
                <w:rFonts w:ascii="Calibri" w:cs="Calibri" w:eastAsia="Calibri" w:hAnsi="Calibri"/>
                <w:b/>
                <w:bCs/>
                <w:sz w:val="22"/>
                <w:szCs w:val="22"/>
              </w:rPr>
              <w:t xml:space="preserve">Total</w:t>
            </w:r>
          </w:p>
        </w:tc>
        <w:tc>
          <w:tcPr>
            <w:tcW w:type="dxa" w:w="3360"/>
            <w:tcMar>
              <w:top w:type="dxa" w:w="80"/>
              <w:left w:type="dxa" w:w="120"/>
              <w:bottom w:type="dxa" w:w="80"/>
              <w:right w:type="dxa" w:w="120"/>
            </w:tcMar>
          </w:tcPr>
          <w:p>
            <w:pPr>
              <w:spacing w:after="0"/>
            </w:pPr>
            <w:r>
              <w:rPr>
                <w:rFonts w:ascii="Calibri" w:cs="Calibri" w:eastAsia="Calibri" w:hAnsi="Calibri"/>
                <w:b/>
                <w:bCs/>
                <w:sz w:val="22"/>
                <w:szCs w:val="22"/>
              </w:rPr>
              <w:t xml:space="preserve">[total]</w:t>
            </w:r>
          </w:p>
        </w:tc>
      </w:tr>
    </w:tbl>
    <w:p>
      <w:pPr>
        <w:spacing w:after="60" w:line="276"/>
      </w:pPr>
      <w:r>
        <w:rPr>
          <w:rFonts w:ascii="Calibri" w:cs="Calibri" w:eastAsia="Calibri" w:hAnsi="Calibri"/>
          <w:sz w:val="22"/>
          <w:szCs w:val="22"/>
        </w:rPr>
        <w:t xml:space="preserve"/>
      </w:r>
    </w:p>
    <w:p>
      <w:pPr>
        <w:spacing w:after="160" w:line="276"/>
      </w:pPr>
      <w:r>
        <w:rPr>
          <w:rFonts w:ascii="Calibri" w:cs="Calibri" w:eastAsia="Calibri" w:hAnsi="Calibri"/>
          <w:color w:val="5A6672"/>
          <w:sz w:val="20"/>
          <w:szCs w:val="20"/>
        </w:rPr>
        <w:t xml:space="preserve">Private team training is quoted per engagement, and for a group it is usually the cheaper route. If several of us would benefit, training@quantumacademy.com will quote it.</w:t>
      </w:r>
    </w:p>
    <w:p>
      <w:pPr>
        <w:pStyle w:val="Heading2"/>
        <w:spacing w:after="120" w:before="300"/>
      </w:pPr>
      <w:r>
        <w:rPr>
          <w:rFonts w:ascii="Calibri" w:cs="Calibri" w:eastAsia="Calibri" w:hAnsi="Calibri"/>
          <w:b/>
          <w:bCs/>
          <w:color w:val="14202E"/>
          <w:sz w:val="24"/>
          <w:szCs w:val="24"/>
        </w:rPr>
        <w:t xml:space="preserve">In closing</w:t>
      </w:r>
    </w:p>
    <w:p>
      <w:pPr>
        <w:spacing w:after="160" w:line="276"/>
      </w:pPr>
      <w:r>
        <w:rPr>
          <w:rFonts w:ascii="Calibri" w:cs="Calibri" w:eastAsia="Calibri" w:hAnsi="Calibri"/>
          <w:sz w:val="22"/>
          <w:szCs w:val="22"/>
        </w:rPr>
        <w:t xml:space="preserve">The material is written and taught by practitioners who do this work in the field, and it is built to be applied rather than filed. I expect to bring it back into our own work immediately.</w:t>
      </w:r>
    </w:p>
    <w:p>
      <w:pPr>
        <w:spacing w:after="160" w:line="276"/>
      </w:pPr>
      <w:r>
        <w:rPr>
          <w:rFonts w:ascii="Calibri" w:cs="Calibri" w:eastAsia="Calibri" w:hAnsi="Calibri"/>
          <w:sz w:val="22"/>
          <w:szCs w:val="22"/>
        </w:rPr>
        <w:t xml:space="preserve">Full course details: https://quantumacademy.com/courses/pqc-migration-project-management/</w:t>
      </w:r>
    </w:p>
    <w:p>
      <w:pPr>
        <w:spacing w:after="200" w:line="276"/>
      </w:pPr>
      <w:r>
        <w:rPr>
          <w:rFonts w:ascii="Calibri" w:cs="Calibri" w:eastAsia="Calibri" w:hAnsi="Calibri"/>
          <w:sz w:val="22"/>
          <w:szCs w:val="22"/>
        </w:rPr>
        <w:t xml:space="preserve">Thank you for considering it.</w:t>
      </w:r>
    </w:p>
    <w:p>
      <w:pPr>
        <w:spacing w:after="40" w:line="276"/>
      </w:pPr>
      <w:r>
        <w:rPr>
          <w:rFonts w:ascii="Calibri" w:cs="Calibri" w:eastAsia="Calibri" w:hAnsi="Calibri"/>
          <w:sz w:val="22"/>
          <w:szCs w:val="22"/>
        </w:rPr>
        <w:t xml:space="preserve">[Your name]</w:t>
      </w:r>
    </w:p>
    <w:p>
      <w:pPr>
        <w:spacing w:after="40" w:line="276"/>
      </w:pPr>
      <w:r>
        <w:rPr>
          <w:rFonts w:ascii="Calibri" w:cs="Calibri" w:eastAsia="Calibri" w:hAnsi="Calibri"/>
          <w:sz w:val="22"/>
          <w:szCs w:val="22"/>
        </w:rPr>
        <w:t xml:space="preserve">[Your title]</w:t>
      </w:r>
    </w:p>
    <w:p>
      <w:pPr>
        <w:pBdr>
          <w:bottom w:val="single" w:color="D5D9DE" w:sz="6"/>
        </w:pBdr>
        <w:spacing w:after="200" w:before="200"/>
      </w:pPr>
      <w:r>
        <w:rPr>
          <w:sz w:val="2"/>
          <w:szCs w:val="2"/>
        </w:rPr>
        <w:t xml:space="preserve"/>
      </w:r>
    </w:p>
    <w:p>
      <w:pPr>
        <w:spacing w:after="80" w:line="276"/>
      </w:pPr>
      <w:r>
        <w:rPr>
          <w:rFonts w:ascii="Calibri" w:cs="Calibri" w:eastAsia="Calibri" w:hAnsi="Calibri"/>
          <w:b/>
          <w:bCs/>
          <w:sz w:val="18"/>
          <w:szCs w:val="18"/>
        </w:rPr>
        <w:t xml:space="preserve">About Quantum Academy credentials</w:t>
      </w:r>
    </w:p>
    <w:p>
      <w:pPr>
        <w:spacing w:after="0" w:line="276"/>
      </w:pPr>
      <w:r>
        <w:rPr>
          <w:rFonts w:ascii="Calibri" w:cs="Calibri" w:eastAsia="Calibri" w:hAnsi="Calibri"/>
          <w:color w:val="5A6672"/>
          <w:sz w:val="16"/>
          <w:szCs w:val="16"/>
        </w:rPr>
        <w:t xml:space="preserve">Quantum Academy is the education and certification brand of Post-Quantum Institute, a Delaware corporation. Quantum Academy certifications are private, professional credentials. They are not government-issued licenses, accredited academic degrees, or academic credit, and completing a program does not guarantee employment, promotion, regulatory approval, or any other specific outcome. Courses are educational and informational, and are not legal, compliance, or engineering advice. Prices are in US dollars and are correct on the course page at the time of enrollment.</w:t>
      </w:r>
    </w:p>
    <w:sectPr>
      <w:pgSz w:w="12240" w:h="15840" w:orient="portrait"/>
      <w:pgMar w:top="1080" w:right="1440" w:bottom="108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31"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Justify your training — PQC Migration Project Management</dc:title>
  <dc:creator>Post-Quantum Institute</dc:creator>
  <dc:description>Training request letter for PQC Migration Project Management, Quantum Academy.</dc:description>
  <cp:lastModifiedBy>Un-named</cp:lastModifiedBy>
  <cp:revision>1</cp:revision>
  <dcterms:created xsi:type="dcterms:W3CDTF">2026-08-21T22:35:19.501Z</dcterms:created>
  <dcterms:modified xsi:type="dcterms:W3CDTF">2026-08-21T22:35:19.501Z</dcterms:modified>
</cp:coreProperties>
</file>

<file path=docProps/custom.xml><?xml version="1.0" encoding="utf-8"?>
<Properties xmlns="http://schemas.openxmlformats.org/officeDocument/2006/custom-properties" xmlns:vt="http://schemas.openxmlformats.org/officeDocument/2006/docPropsVTypes"/>
</file>