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Practitioner Bootcamp</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Practitioner Bootcamp</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Practitioner Bootcamp,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The PQC Practitioner Bootcamp compresses the Post-Quantum Foundation and PQCS Specialist Training content into an intensive, instructor-led week. Where the self-paced courses spread learning over weeks or months, the Bootcamp delivers the same depth in five consecutive days of immersive, focused instruction with live labs and group exercises.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The quantum threat to cryptography (HNDL, TNFL, CRQC timeline assessment)</w:t>
      </w:r>
    </w:p>
    <w:p>
      <w:pPr>
        <w:pStyle w:val="ListParagraph"/>
        <w:numPr>
          <w:ilvl w:val="0"/>
          <w:numId w:val="2"/>
        </w:numPr>
        <w:spacing w:after="100" w:line="276"/>
      </w:pPr>
      <w:r>
        <w:rPr>
          <w:rFonts w:ascii="Calibri" w:cs="Calibri" w:eastAsia="Calibri" w:hAnsi="Calibri"/>
          <w:sz w:val="22"/>
          <w:szCs w:val="22"/>
        </w:rPr>
        <w:t xml:space="preserve">NIST post-quantum standards and regulatory drivers</w:t>
      </w:r>
    </w:p>
    <w:p>
      <w:pPr>
        <w:pStyle w:val="ListParagraph"/>
        <w:numPr>
          <w:ilvl w:val="0"/>
          <w:numId w:val="2"/>
        </w:numPr>
        <w:spacing w:after="100" w:line="276"/>
      </w:pPr>
      <w:r>
        <w:rPr>
          <w:rFonts w:ascii="Calibri" w:cs="Calibri" w:eastAsia="Calibri" w:hAnsi="Calibri"/>
          <w:sz w:val="22"/>
          <w:szCs w:val="22"/>
        </w:rPr>
        <w:t xml:space="preserve">Cryptographic inventory and CBOM methodology (hands-on)</w:t>
      </w:r>
    </w:p>
    <w:p>
      <w:pPr>
        <w:pStyle w:val="ListParagraph"/>
        <w:numPr>
          <w:ilvl w:val="0"/>
          <w:numId w:val="2"/>
        </w:numPr>
        <w:spacing w:after="100" w:line="276"/>
      </w:pPr>
      <w:r>
        <w:rPr>
          <w:rFonts w:ascii="Calibri" w:cs="Calibri" w:eastAsia="Calibri" w:hAnsi="Calibri"/>
          <w:sz w:val="22"/>
          <w:szCs w:val="22"/>
        </w:rPr>
        <w:t xml:space="preserve">NIST PQC algorithm evaluation (ML-KEM, ML-DSA, SLH-DSA, FN-DSA, HQC)</w:t>
      </w:r>
    </w:p>
    <w:p>
      <w:pPr>
        <w:pStyle w:val="ListParagraph"/>
        <w:numPr>
          <w:ilvl w:val="0"/>
          <w:numId w:val="2"/>
        </w:numPr>
        <w:spacing w:after="100" w:line="276"/>
      </w:pPr>
      <w:r>
        <w:rPr>
          <w:rFonts w:ascii="Calibri" w:cs="Calibri" w:eastAsia="Calibri" w:hAnsi="Calibri"/>
          <w:sz w:val="22"/>
          <w:szCs w:val="22"/>
        </w:rPr>
        <w:t xml:space="preserve">Hybrid implementation design (key exchange and signatures)</w:t>
      </w:r>
    </w:p>
    <w:p>
      <w:pPr>
        <w:pStyle w:val="ListParagraph"/>
        <w:numPr>
          <w:ilvl w:val="0"/>
          <w:numId w:val="2"/>
        </w:numPr>
        <w:spacing w:after="100" w:line="276"/>
      </w:pPr>
      <w:r>
        <w:rPr>
          <w:rFonts w:ascii="Calibri" w:cs="Calibri" w:eastAsia="Calibri" w:hAnsi="Calibri"/>
          <w:sz w:val="22"/>
          <w:szCs w:val="22"/>
        </w:rPr>
        <w:t xml:space="preserve">Protocol migration assessment (TLS, SSH, IPsec, PKI)</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https://quantumacademy.com/courses/pqc-practitioner-bootcamp/</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Practitioner Bootcamp</dc:title>
  <dc:creator>Post-Quantum Institute</dc:creator>
  <dc:description>Training request letter for PQC Practitioner Bootcamp, Quantum Academy.</dc:description>
  <cp:lastModifiedBy>Un-named</cp:lastModifiedBy>
  <cp:revision>1</cp:revision>
  <dcterms:created xsi:type="dcterms:W3CDTF">2026-08-21T22:35:19.511Z</dcterms:created>
  <dcterms:modified xsi:type="dcterms:W3CDTF">2026-08-21T22:35:19.511Z</dcterms:modified>
</cp:coreProperties>
</file>

<file path=docProps/custom.xml><?xml version="1.0" encoding="utf-8"?>
<Properties xmlns="http://schemas.openxmlformats.org/officeDocument/2006/custom-properties" xmlns:vt="http://schemas.openxmlformats.org/officeDocument/2006/docPropsVTypes"/>
</file>