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PQCA Architect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PQCA Architect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PQCA Architect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Every PQC migration begins with a design problem. Which algorithms fit which systems? Where do hybrid approaches add real value versus unnecessary complexity? How do you handle protocol-level constraints, backwards compatibility, and performance budgets in an environment with thousands of cryptographic touchpoints?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an organization's cryptographic architecture to identify every point requiring PQC migration, including embedded and non-obvious cryptographic dependencies</w:t>
      </w:r>
    </w:p>
    <w:p>
      <w:pPr>
        <w:pStyle w:val="ListParagraph"/>
        <w:numPr>
          <w:ilvl w:val="0"/>
          <w:numId w:val="2"/>
        </w:numPr>
        <w:spacing w:after="100" w:line="276"/>
      </w:pPr>
      <w:r>
        <w:rPr>
          <w:rFonts w:ascii="Calibri" w:cs="Calibri" w:eastAsia="Calibri" w:hAnsi="Calibri"/>
          <w:sz w:val="22"/>
          <w:szCs w:val="22"/>
        </w:rPr>
        <w:t xml:space="preserve">Select appropriate PQC algorithms for specific deployment contexts, accounting for security requirements, performance constraints, key and signature sizes, bandwidth budgets, and interoperability needs</w:t>
      </w:r>
    </w:p>
    <w:p>
      <w:pPr>
        <w:pStyle w:val="ListParagraph"/>
        <w:numPr>
          <w:ilvl w:val="0"/>
          <w:numId w:val="2"/>
        </w:numPr>
        <w:spacing w:after="100" w:line="276"/>
      </w:pPr>
      <w:r>
        <w:rPr>
          <w:rFonts w:ascii="Calibri" w:cs="Calibri" w:eastAsia="Calibri" w:hAnsi="Calibri"/>
          <w:sz w:val="22"/>
          <w:szCs w:val="22"/>
        </w:rPr>
        <w:t xml:space="preserve">Design hybrid implementation strategies (hybrid key exchange, hybrid signatures, composite certificates) appropriate to the transition period</w:t>
      </w:r>
    </w:p>
    <w:p>
      <w:pPr>
        <w:pStyle w:val="ListParagraph"/>
        <w:numPr>
          <w:ilvl w:val="0"/>
          <w:numId w:val="2"/>
        </w:numPr>
        <w:spacing w:after="100" w:line="276"/>
      </w:pPr>
      <w:r>
        <w:rPr>
          <w:rFonts w:ascii="Calibri" w:cs="Calibri" w:eastAsia="Calibri" w:hAnsi="Calibri"/>
          <w:sz w:val="22"/>
          <w:szCs w:val="22"/>
        </w:rPr>
        <w:t xml:space="preserve">Architect PQC migration at the protocol level for TLS, SSH, IPsec/IKEv2, S/MIME, code signing, PKI, DNSSEC, and other standards</w:t>
      </w:r>
    </w:p>
    <w:p>
      <w:pPr>
        <w:pStyle w:val="ListParagraph"/>
        <w:numPr>
          <w:ilvl w:val="0"/>
          <w:numId w:val="2"/>
        </w:numPr>
        <w:spacing w:after="100" w:line="276"/>
      </w:pPr>
      <w:r>
        <w:rPr>
          <w:rFonts w:ascii="Calibri" w:cs="Calibri" w:eastAsia="Calibri" w:hAnsi="Calibri"/>
          <w:sz w:val="22"/>
          <w:szCs w:val="22"/>
        </w:rPr>
        <w:t xml:space="preserve">Evaluate trade-offs between migration approaches (in-place upgrade, parallel infrastructure, phased rollover) for different system types</w:t>
      </w:r>
    </w:p>
    <w:p>
      <w:pPr>
        <w:pStyle w:val="ListParagraph"/>
        <w:numPr>
          <w:ilvl w:val="0"/>
          <w:numId w:val="2"/>
        </w:numPr>
        <w:spacing w:after="100" w:line="276"/>
      </w:pPr>
      <w:r>
        <w:rPr>
          <w:rFonts w:ascii="Calibri" w:cs="Calibri" w:eastAsia="Calibri" w:hAnsi="Calibri"/>
          <w:sz w:val="22"/>
          <w:szCs w:val="22"/>
        </w:rPr>
        <w:t xml:space="preserve">Design cryptographic agility into new and existing architectures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PQCA exam, which leads to the Post-Quantum Certified Architect credential. The exam is booked and paid for separately at US$699.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https://quantumacademy.com/courses/pqca-architect-training/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PQCA Architect Training</dc:title>
  <dc:creator>Post-Quantum Institute</dc:creator>
  <dc:description>Training request letter for PQCA Architect Training, Quantum Academy.</dc:description>
  <cp:lastModifiedBy>Un-named</cp:lastModifiedBy>
  <cp:revision>1</cp:revision>
  <dcterms:created xsi:type="dcterms:W3CDTF">2026-08-21T22:35:19.557Z</dcterms:created>
  <dcterms:modified xsi:type="dcterms:W3CDTF">2026-08-21T22:35:19.557Z</dcterms:modified>
</cp:coreProperties>
</file>

<file path=docProps/custom.xml><?xml version="1.0" encoding="utf-8"?>
<Properties xmlns="http://schemas.openxmlformats.org/officeDocument/2006/custom-properties" xmlns:vt="http://schemas.openxmlformats.org/officeDocument/2006/docPropsVTypes"/>
</file>