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PQCV Validator Training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PQCV Validator Training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PQCV Validator Training,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A PQC migration is only as good as its verification. Every algorithm swap, every hybrid implementation, every protocol upgrade must be tested, validated, and confirmed before it can be trusted in production. The gap between "deployed" and "verified" is where migrations fail silently – a misconfigured fallback that allows classical-only connections, a hybrid implementation that negotiates correctly in the lab but breaks under production load, a certificate chain that validates in one client but not another.</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Design test strategies for PQC implementations covering functional correctness, security properties, performance, and interoperability</w:t>
      </w:r>
    </w:p>
    <w:p>
      <w:pPr>
        <w:pStyle w:val="ListParagraph"/>
        <w:numPr>
          <w:ilvl w:val="0"/>
          <w:numId w:val="2"/>
        </w:numPr>
        <w:spacing w:after="100" w:line="276"/>
      </w:pPr>
      <w:r>
        <w:rPr>
          <w:rFonts w:ascii="Calibri" w:cs="Calibri" w:eastAsia="Calibri" w:hAnsi="Calibri"/>
          <w:sz w:val="22"/>
          <w:szCs w:val="22"/>
        </w:rPr>
        <w:t xml:space="preserve">Test hybrid key exchange and hybrid signature implementations for correct behavior under normal and adversarial conditions</w:t>
      </w:r>
    </w:p>
    <w:p>
      <w:pPr>
        <w:pStyle w:val="ListParagraph"/>
        <w:numPr>
          <w:ilvl w:val="0"/>
          <w:numId w:val="2"/>
        </w:numPr>
        <w:spacing w:after="100" w:line="276"/>
      </w:pPr>
      <w:r>
        <w:rPr>
          <w:rFonts w:ascii="Calibri" w:cs="Calibri" w:eastAsia="Calibri" w:hAnsi="Calibri"/>
          <w:sz w:val="22"/>
          <w:szCs w:val="22"/>
        </w:rPr>
        <w:t xml:space="preserve">Conduct downgrade attack testing to verify that fallback to classical-only algorithms is prevented where policy requires it</w:t>
      </w:r>
    </w:p>
    <w:p>
      <w:pPr>
        <w:pStyle w:val="ListParagraph"/>
        <w:numPr>
          <w:ilvl w:val="0"/>
          <w:numId w:val="2"/>
        </w:numPr>
        <w:spacing w:after="100" w:line="276"/>
      </w:pPr>
      <w:r>
        <w:rPr>
          <w:rFonts w:ascii="Calibri" w:cs="Calibri" w:eastAsia="Calibri" w:hAnsi="Calibri"/>
          <w:sz w:val="22"/>
          <w:szCs w:val="22"/>
        </w:rPr>
        <w:t xml:space="preserve">Validate PQC certificate chains across multiple client implementations and platforms</w:t>
      </w:r>
    </w:p>
    <w:p>
      <w:pPr>
        <w:pStyle w:val="ListParagraph"/>
        <w:numPr>
          <w:ilvl w:val="0"/>
          <w:numId w:val="2"/>
        </w:numPr>
        <w:spacing w:after="100" w:line="276"/>
      </w:pPr>
      <w:r>
        <w:rPr>
          <w:rFonts w:ascii="Calibri" w:cs="Calibri" w:eastAsia="Calibri" w:hAnsi="Calibri"/>
          <w:sz w:val="22"/>
          <w:szCs w:val="22"/>
        </w:rPr>
        <w:t xml:space="preserve">Perform interoperability testing between PQC implementations from different vendors and libraries</w:t>
      </w:r>
    </w:p>
    <w:p>
      <w:pPr>
        <w:pStyle w:val="ListParagraph"/>
        <w:numPr>
          <w:ilvl w:val="0"/>
          <w:numId w:val="2"/>
        </w:numPr>
        <w:spacing w:after="100" w:line="276"/>
      </w:pPr>
      <w:r>
        <w:rPr>
          <w:rFonts w:ascii="Calibri" w:cs="Calibri" w:eastAsia="Calibri" w:hAnsi="Calibri"/>
          <w:sz w:val="22"/>
          <w:szCs w:val="22"/>
        </w:rPr>
        <w:t xml:space="preserve">Benchmark PQC implementation performance against defined thresholds and service-level requirements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The certification</w:t>
      </w:r>
    </w:p>
    <w:p>
      <w:pPr>
        <w:spacing w:after="160" w:line="276"/>
      </w:pPr>
      <w:r>
        <w:rPr>
          <w:rFonts w:ascii="Calibri" w:cs="Calibri" w:eastAsia="Calibri" w:hAnsi="Calibri"/>
          <w:sz w:val="22"/>
          <w:szCs w:val="22"/>
        </w:rPr>
        <w:t xml:space="preserve">This course prepares for the PQCV exam, which leads to the Post-Quantum Certified Validator credential. The exam is booked and paid for separately at US$699. It is a proctored, scenario-based assessment, and the credential is verifiable by any employer or client at its own verification domain. Certifications are valid for three years, renewed through continuing education included in the US$149 annual maintenance fee that covers all credentials held.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https://quantumacademy.com/courses/pqcv-validator-training/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PQCV Validator Training</dc:title>
  <dc:creator>Post-Quantum Institute</dc:creator>
  <dc:description>Training request letter for PQCV Validator Training, Quantum Academy.</dc:description>
  <cp:lastModifiedBy>Un-named</cp:lastModifiedBy>
  <cp:revision>1</cp:revision>
  <dcterms:created xsi:type="dcterms:W3CDTF">2026-08-21T22:35:19.613Z</dcterms:created>
  <dcterms:modified xsi:type="dcterms:W3CDTF">2026-08-21T22:35:19.613Z</dcterms:modified>
</cp:coreProperties>
</file>

<file path=docProps/custom.xml><?xml version="1.0" encoding="utf-8"?>
<Properties xmlns="http://schemas.openxmlformats.org/officeDocument/2006/custom-properties" xmlns:vt="http://schemas.openxmlformats.org/officeDocument/2006/docPropsVTypes"/>
</file>