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AI Systems</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AI Systems</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AI Systems,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Where AI systems depend on cryptography, and how to bring them into your post-quantum migration: model integrity, training data, inference traffic, and the AI supply chain.</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Map the cryptographic dependencies inside an AI platform</w:t>
      </w:r>
    </w:p>
    <w:p>
      <w:pPr>
        <w:pStyle w:val="ListParagraph"/>
        <w:numPr>
          <w:ilvl w:val="0"/>
          <w:numId w:val="2"/>
        </w:numPr>
        <w:spacing w:after="100" w:line="276"/>
      </w:pPr>
      <w:r>
        <w:rPr>
          <w:rFonts w:ascii="Calibri" w:cs="Calibri" w:eastAsia="Calibri" w:hAnsi="Calibri"/>
          <w:sz w:val="22"/>
          <w:szCs w:val="22"/>
        </w:rPr>
        <w:t xml:space="preserve">Plan model and artifact signing for the post-quantum transition</w:t>
      </w:r>
    </w:p>
    <w:p>
      <w:pPr>
        <w:pStyle w:val="ListParagraph"/>
        <w:numPr>
          <w:ilvl w:val="0"/>
          <w:numId w:val="2"/>
        </w:numPr>
        <w:spacing w:after="100" w:line="276"/>
      </w:pPr>
      <w:r>
        <w:rPr>
          <w:rFonts w:ascii="Calibri" w:cs="Calibri" w:eastAsia="Calibri" w:hAnsi="Calibri"/>
          <w:sz w:val="22"/>
          <w:szCs w:val="22"/>
        </w:rPr>
        <w:t xml:space="preserve">Assess training-data confidentiality against harvest-now-decrypt-later exposure</w:t>
      </w:r>
    </w:p>
    <w:p>
      <w:pPr>
        <w:pStyle w:val="ListParagraph"/>
        <w:numPr>
          <w:ilvl w:val="0"/>
          <w:numId w:val="2"/>
        </w:numPr>
        <w:spacing w:after="100" w:line="276"/>
      </w:pPr>
      <w:r>
        <w:rPr>
          <w:rFonts w:ascii="Calibri" w:cs="Calibri" w:eastAsia="Calibri" w:hAnsi="Calibri"/>
          <w:sz w:val="22"/>
          <w:szCs w:val="22"/>
        </w:rPr>
        <w:t xml:space="preserve">Set post-quantum requirements for AI vendors and model suppliers</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NIST finalized FIPS 203, 204, and 205 in August 2024, which moves post-quantum from research into procurement and audit conversations</w:t>
      </w:r>
    </w:p>
    <w:p>
      <w:pPr>
        <w:pStyle w:val="ListParagraph"/>
        <w:numPr>
          <w:ilvl w:val="0"/>
          <w:numId w:val="2"/>
        </w:numPr>
        <w:spacing w:after="100" w:line="276"/>
      </w:pPr>
      <w:r>
        <w:rPr>
          <w:rFonts w:ascii="Calibri" w:cs="Calibri" w:eastAsia="Calibri" w:hAnsi="Calibri"/>
          <w:sz w:val="22"/>
          <w:szCs w:val="22"/>
        </w:rPr>
        <w:t xml:space="preserve">Sector supervisors and large customers are beginning to ask for post-quantum readiness evidence, and the answers have to be prepared in advance</w:t>
      </w:r>
    </w:p>
    <w:p>
      <w:pPr>
        <w:pStyle w:val="ListParagraph"/>
        <w:numPr>
          <w:ilvl w:val="0"/>
          <w:numId w:val="2"/>
        </w:numPr>
        <w:spacing w:after="100" w:line="276"/>
      </w:pPr>
      <w:r>
        <w:rPr>
          <w:rFonts w:ascii="Calibri" w:cs="Calibri" w:eastAsia="Calibri" w:hAnsi="Calibri"/>
          <w:sz w:val="22"/>
          <w:szCs w:val="22"/>
        </w:rPr>
        <w:t xml:space="preserve">Long asset lifetimes in this sector mean equipment specified today will still be running when migration is mandatory</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[If the course lists worksheets, templates, or models, name the ones that matter to us here.]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https://quantumacademy.com/courses/quantum-safe-ai-systems/</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AI Systems</dc:title>
  <dc:creator>Post-Quantum Institute</dc:creator>
  <dc:description>Training request letter for Quantum-Safe AI Systems, Quantum Academy.</dc:description>
  <cp:lastModifiedBy>Un-named</cp:lastModifiedBy>
  <cp:revision>1</cp:revision>
  <dcterms:created xsi:type="dcterms:W3CDTF">2026-08-21T22:35:19.851Z</dcterms:created>
  <dcterms:modified xsi:type="dcterms:W3CDTF">2026-08-21T22:35:19.851Z</dcterms:modified>
</cp:coreProperties>
</file>

<file path=docProps/custom.xml><?xml version="1.0" encoding="utf-8"?>
<Properties xmlns="http://schemas.openxmlformats.org/officeDocument/2006/custom-properties" xmlns:vt="http://schemas.openxmlformats.org/officeDocument/2006/docPropsVTypes"/>
</file>