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Automotive Intensive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Automotive Intensive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Automotive Intensive,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A vehicle sold this year will still be on the road well past the point where its cryptography is expected to hold. Over-the-air update signing is the sharpest case: if the signing scheme cannot be changed remotely, the fleet loses its route to every future fix, cryptographic or otherwise. This is a working day, delivered privately. You bring your own platform architecture and supplier map, and you leave with a plan covering the fleet on the road, the platform in development, and the suppliers underneath both.</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Treat OTA update signing as the first migration case and plan it ahead of everything else</w:t>
      </w:r>
    </w:p>
    <w:p>
      <w:pPr>
        <w:pStyle w:val="ListParagraph"/>
        <w:numPr>
          <w:ilvl w:val="0"/>
          <w:numId w:val="2"/>
        </w:numPr>
        <w:spacing w:after="100" w:line="276"/>
      </w:pPr>
      <w:r>
        <w:rPr>
          <w:rFonts w:ascii="Calibri" w:cs="Calibri" w:eastAsia="Calibri" w:hAnsi="Calibri"/>
          <w:sz w:val="22"/>
          <w:szCs w:val="22"/>
        </w:rPr>
        <w:t xml:space="preserve">Map cryptographic dependencies across in-vehicle networks, the backend, and V2X</w:t>
      </w:r>
    </w:p>
    <w:p>
      <w:pPr>
        <w:pStyle w:val="ListParagraph"/>
        <w:numPr>
          <w:ilvl w:val="0"/>
          <w:numId w:val="2"/>
        </w:numPr>
        <w:spacing w:after="100" w:line="276"/>
      </w:pPr>
      <w:r>
        <w:rPr>
          <w:rFonts w:ascii="Calibri" w:cs="Calibri" w:eastAsia="Calibri" w:hAnsi="Calibri"/>
          <w:sz w:val="22"/>
          <w:szCs w:val="22"/>
        </w:rPr>
        <w:t xml:space="preserve">Separate the fleet that can receive a cryptographic update from the fleet that cannot</w:t>
      </w:r>
    </w:p>
    <w:p>
      <w:pPr>
        <w:pStyle w:val="ListParagraph"/>
        <w:numPr>
          <w:ilvl w:val="0"/>
          <w:numId w:val="2"/>
        </w:numPr>
        <w:spacing w:after="100" w:line="276"/>
      </w:pPr>
      <w:r>
        <w:rPr>
          <w:rFonts w:ascii="Calibri" w:cs="Calibri" w:eastAsia="Calibri" w:hAnsi="Calibri"/>
          <w:sz w:val="22"/>
          <w:szCs w:val="22"/>
        </w:rPr>
        <w:t xml:space="preserve">Work post-quantum requirements into ISO/SAE 21434 cybersecurity engineering rather than beside it</w:t>
      </w:r>
    </w:p>
    <w:p>
      <w:pPr>
        <w:pStyle w:val="ListParagraph"/>
        <w:numPr>
          <w:ilvl w:val="0"/>
          <w:numId w:val="2"/>
        </w:numPr>
        <w:spacing w:after="100" w:line="276"/>
      </w:pPr>
      <w:r>
        <w:rPr>
          <w:rFonts w:ascii="Calibri" w:cs="Calibri" w:eastAsia="Calibri" w:hAnsi="Calibri"/>
          <w:sz w:val="22"/>
          <w:szCs w:val="22"/>
        </w:rPr>
        <w:t xml:space="preserve">Write supplier cryptographic requirements into the next platform's component specifications</w:t>
      </w:r>
    </w:p>
    <w:p>
      <w:pPr>
        <w:pStyle w:val="ListParagraph"/>
        <w:numPr>
          <w:ilvl w:val="0"/>
          <w:numId w:val="2"/>
        </w:numPr>
        <w:spacing w:after="100" w:line="276"/>
      </w:pPr>
      <w:r>
        <w:rPr>
          <w:rFonts w:ascii="Calibri" w:cs="Calibri" w:eastAsia="Calibri" w:hAnsi="Calibri"/>
          <w:sz w:val="22"/>
          <w:szCs w:val="22"/>
        </w:rPr>
        <w:t xml:space="preserve">Plan for a V2X ecosystem that migrates collectively or not at all</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which moves post-quantum from research into procurement and audit conversations</w:t>
      </w:r>
    </w:p>
    <w:p>
      <w:pPr>
        <w:pStyle w:val="ListParagraph"/>
        <w:numPr>
          <w:ilvl w:val="0"/>
          <w:numId w:val="2"/>
        </w:numPr>
        <w:spacing w:after="100" w:line="276"/>
      </w:pPr>
      <w:r>
        <w:rPr>
          <w:rFonts w:ascii="Calibri" w:cs="Calibri" w:eastAsia="Calibri" w:hAnsi="Calibri"/>
          <w:sz w:val="22"/>
          <w:szCs w:val="22"/>
        </w:rPr>
        <w:t xml:space="preserve">Sector supervisors and large customers are beginning to ask for post-quantum readiness evidence, and the answers have to be prepared in advance</w:t>
      </w:r>
    </w:p>
    <w:p>
      <w:pPr>
        <w:pStyle w:val="ListParagraph"/>
        <w:numPr>
          <w:ilvl w:val="0"/>
          <w:numId w:val="2"/>
        </w:numPr>
        <w:spacing w:after="100" w:line="276"/>
      </w:pPr>
      <w:r>
        <w:rPr>
          <w:rFonts w:ascii="Calibri" w:cs="Calibri" w:eastAsia="Calibri" w:hAnsi="Calibri"/>
          <w:sz w:val="22"/>
          <w:szCs w:val="22"/>
        </w:rPr>
        <w:t xml:space="preserve">Long asset lifetimes in this sector mean equipment specified today will still be running when migration is mandatory</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The working session itself produces an OTA signing migration plan for fleet and platform, a vehicle and backend cryptographic dependency map, a fleet segmentation model by update capability, and supplier cryptographic requirement language for the next platform, built from our own environment rather than a worked example. Those come back with me.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https://quantumacademy.com/courses/quantum-safe-automotive-intensive/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Automotive Intensive</dc:title>
  <dc:creator>Post-Quantum Institute</dc:creator>
  <dc:description>Training request letter for Quantum-Safe Automotive Intensive, Quantum Academy.</dc:description>
  <cp:lastModifiedBy>Un-named</cp:lastModifiedBy>
  <cp:revision>1</cp:revision>
  <dcterms:created xsi:type="dcterms:W3CDTF">2026-08-21T22:35:19.911Z</dcterms:created>
  <dcterms:modified xsi:type="dcterms:W3CDTF">2026-08-21T22:35:19.911Z</dcterms:modified>
</cp:coreProperties>
</file>

<file path=docProps/custom.xml><?xml version="1.0" encoding="utf-8"?>
<Properties xmlns="http://schemas.openxmlformats.org/officeDocument/2006/custom-properties" xmlns:vt="http://schemas.openxmlformats.org/officeDocument/2006/docPropsVTypes"/>
</file>