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Digital Assets Intensive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Digital Assets Intensive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Digital Assets Intensive,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Digital assets face a migration problem that no single organization can solve. Signature schemes are consensus rules, wallet populations are held by users who may never respond, and the governance path to changing either runs through a community rather than a change board. Custodians and exchanges sit downstream of all of it. This is a working day. You bring your own key architecture, your own asset coverage, and your own custody model, and you leave with a plan that distinguishes what you control from what you can only prepare for.</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Separate exposure that is a protocol problem from exposure that is a key management problem inside your own walls</w:t>
      </w:r>
    </w:p>
    <w:p>
      <w:pPr>
        <w:pStyle w:val="ListParagraph"/>
        <w:numPr>
          <w:ilvl w:val="0"/>
          <w:numId w:val="2"/>
        </w:numPr>
        <w:spacing w:after="100" w:line="276"/>
      </w:pPr>
      <w:r>
        <w:rPr>
          <w:rFonts w:ascii="Calibri" w:cs="Calibri" w:eastAsia="Calibri" w:hAnsi="Calibri"/>
          <w:sz w:val="22"/>
          <w:szCs w:val="22"/>
        </w:rPr>
        <w:t xml:space="preserve">Assess the relative urgency of the exposures across the chains you actually support</w:t>
      </w:r>
    </w:p>
    <w:p>
      <w:pPr>
        <w:pStyle w:val="ListParagraph"/>
        <w:numPr>
          <w:ilvl w:val="0"/>
          <w:numId w:val="2"/>
        </w:numPr>
        <w:spacing w:after="100" w:line="276"/>
      </w:pPr>
      <w:r>
        <w:rPr>
          <w:rFonts w:ascii="Calibri" w:cs="Calibri" w:eastAsia="Calibri" w:hAnsi="Calibri"/>
          <w:sz w:val="22"/>
          <w:szCs w:val="22"/>
        </w:rPr>
        <w:t xml:space="preserve">Plan wallet and address migration at scale, including the population that will not act</w:t>
      </w:r>
    </w:p>
    <w:p>
      <w:pPr>
        <w:pStyle w:val="ListParagraph"/>
        <w:numPr>
          <w:ilvl w:val="0"/>
          <w:numId w:val="2"/>
        </w:numPr>
        <w:spacing w:after="100" w:line="276"/>
      </w:pPr>
      <w:r>
        <w:rPr>
          <w:rFonts w:ascii="Calibri" w:cs="Calibri" w:eastAsia="Calibri" w:hAnsi="Calibri"/>
          <w:sz w:val="22"/>
          <w:szCs w:val="22"/>
        </w:rPr>
        <w:t xml:space="preserve">Evaluate post-quantum signature schemes against the constraints of the chains you support</w:t>
      </w:r>
    </w:p>
    <w:p>
      <w:pPr>
        <w:pStyle w:val="ListParagraph"/>
        <w:numPr>
          <w:ilvl w:val="0"/>
          <w:numId w:val="2"/>
        </w:numPr>
        <w:spacing w:after="100" w:line="276"/>
      </w:pPr>
      <w:r>
        <w:rPr>
          <w:rFonts w:ascii="Calibri" w:cs="Calibri" w:eastAsia="Calibri" w:hAnsi="Calibri"/>
          <w:sz w:val="22"/>
          <w:szCs w:val="22"/>
        </w:rPr>
        <w:t xml:space="preserve">Sequence custody key hierarchy migration without a custody gap</w:t>
      </w:r>
    </w:p>
    <w:p>
      <w:pPr>
        <w:pStyle w:val="ListParagraph"/>
        <w:numPr>
          <w:ilvl w:val="0"/>
          <w:numId w:val="2"/>
        </w:numPr>
        <w:spacing w:after="100" w:line="276"/>
      </w:pPr>
      <w:r>
        <w:rPr>
          <w:rFonts w:ascii="Calibri" w:cs="Calibri" w:eastAsia="Calibri" w:hAnsi="Calibri"/>
          <w:sz w:val="22"/>
          <w:szCs w:val="22"/>
        </w:rPr>
        <w:t xml:space="preserve">Set a governance engagement position for the protocols whose decisions bind you</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The working session itself produces a per-chain exposure assessment across the assets you support, a custody key hierarchy migration plan, a wallet and address migration model including the unreachable population, and a protocol governance engagement position, built from our own environment rather than a worked example. Those come back with me.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https://quantumacademy.com/courses/quantum-safe-digital-assets-intensive/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Digital Assets Intensive</dc:title>
  <dc:creator>Post-Quantum Institute</dc:creator>
  <dc:description>Training request letter for Quantum-Safe Digital Assets Intensive, Quantum Academy.</dc:description>
  <cp:lastModifiedBy>Un-named</cp:lastModifiedBy>
  <cp:revision>1</cp:revision>
  <dcterms:created xsi:type="dcterms:W3CDTF">2026-08-21T22:35:19.996Z</dcterms:created>
  <dcterms:modified xsi:type="dcterms:W3CDTF">2026-08-21T22:35:19.996Z</dcterms:modified>
</cp:coreProperties>
</file>

<file path=docProps/custom.xml><?xml version="1.0" encoding="utf-8"?>
<Properties xmlns="http://schemas.openxmlformats.org/officeDocument/2006/custom-properties" xmlns:vt="http://schemas.openxmlformats.org/officeDocument/2006/docPropsVTypes"/>
</file>