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Quantum-Safe Digital Assets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Quantum-Safe Digital Assets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Quantum-Safe Digital Assets,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Blockchain and cryptocurrency systems face a unique variant of the quantum threat. Bitcoin's ECDSA signature scheme will eventually fall to Shor's algorithm, but Bitcoin's quantum timeline differs from RSA's because the exposure window depends on how and when public keys are revealed. Ethereum has five distinct quantum vulnerabilities. And the governance challenge is fundamentally different from enterprise PQC migration: decentralized systems cannot mandate a transition.</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Distinguish Bitcoin's quantum exposure from conventional PKI exposure</w:t>
      </w:r>
    </w:p>
    <w:p>
      <w:pPr>
        <w:pStyle w:val="ListParagraph"/>
        <w:numPr>
          <w:ilvl w:val="0"/>
          <w:numId w:val="2"/>
        </w:numPr>
        <w:spacing w:after="100" w:line="276"/>
      </w:pPr>
      <w:r>
        <w:rPr>
          <w:rFonts w:ascii="Calibri" w:cs="Calibri" w:eastAsia="Calibri" w:hAnsi="Calibri"/>
          <w:sz w:val="22"/>
          <w:szCs w:val="22"/>
        </w:rPr>
        <w:t xml:space="preserve">Identify Ethereum's five quantum vulnerabilities and their relative urgency</w:t>
      </w:r>
    </w:p>
    <w:p>
      <w:pPr>
        <w:pStyle w:val="ListParagraph"/>
        <w:numPr>
          <w:ilvl w:val="0"/>
          <w:numId w:val="2"/>
        </w:numPr>
        <w:spacing w:after="100" w:line="276"/>
      </w:pPr>
      <w:r>
        <w:rPr>
          <w:rFonts w:ascii="Calibri" w:cs="Calibri" w:eastAsia="Calibri" w:hAnsi="Calibri"/>
          <w:sz w:val="22"/>
          <w:szCs w:val="22"/>
        </w:rPr>
        <w:t xml:space="preserve">Assess the governance challenge: how decentralized systems approach cryptographic transitions</w:t>
      </w:r>
    </w:p>
    <w:p>
      <w:pPr>
        <w:pStyle w:val="ListParagraph"/>
        <w:numPr>
          <w:ilvl w:val="0"/>
          <w:numId w:val="2"/>
        </w:numPr>
        <w:spacing w:after="100" w:line="276"/>
      </w:pPr>
      <w:r>
        <w:rPr>
          <w:rFonts w:ascii="Calibri" w:cs="Calibri" w:eastAsia="Calibri" w:hAnsi="Calibri"/>
          <w:sz w:val="22"/>
          <w:szCs w:val="22"/>
        </w:rPr>
        <w:t xml:space="preserve">Evaluate post-quantum signature schemes under consideration by major chains</w:t>
      </w:r>
    </w:p>
    <w:p>
      <w:pPr>
        <w:pStyle w:val="ListParagraph"/>
        <w:numPr>
          <w:ilvl w:val="0"/>
          <w:numId w:val="2"/>
        </w:numPr>
        <w:spacing w:after="100" w:line="276"/>
      </w:pPr>
      <w:r>
        <w:rPr>
          <w:rFonts w:ascii="Calibri" w:cs="Calibri" w:eastAsia="Calibri" w:hAnsi="Calibri"/>
          <w:sz w:val="22"/>
          <w:szCs w:val="22"/>
        </w:rPr>
        <w:t xml:space="preserve">Plan wallet migration strategies at scale</w:t>
      </w:r>
    </w:p>
    <w:p>
      <w:pPr>
        <w:pStyle w:val="ListParagraph"/>
        <w:numPr>
          <w:ilvl w:val="0"/>
          <w:numId w:val="2"/>
        </w:numPr>
        <w:spacing w:after="100" w:line="276"/>
      </w:pPr>
      <w:r>
        <w:rPr>
          <w:rFonts w:ascii="Calibri" w:cs="Calibri" w:eastAsia="Calibri" w:hAnsi="Calibri"/>
          <w:sz w:val="22"/>
          <w:szCs w:val="22"/>
        </w:rPr>
        <w:t xml:space="preserve">Assess Lightning Network and Layer 2 quantum exposure</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which moves post-quantum from research into procurement and audit conversations</w:t>
      </w:r>
    </w:p>
    <w:p>
      <w:pPr>
        <w:pStyle w:val="ListParagraph"/>
        <w:numPr>
          <w:ilvl w:val="0"/>
          <w:numId w:val="2"/>
        </w:numPr>
        <w:spacing w:after="100" w:line="276"/>
      </w:pPr>
      <w:r>
        <w:rPr>
          <w:rFonts w:ascii="Calibri" w:cs="Calibri" w:eastAsia="Calibri" w:hAnsi="Calibri"/>
          <w:sz w:val="22"/>
          <w:szCs w:val="22"/>
        </w:rPr>
        <w:t xml:space="preserve">Sector supervisors and large customers are beginning to ask for post-quantum readiness evidence, and the answers have to be prepared in advance</w:t>
      </w:r>
    </w:p>
    <w:p>
      <w:pPr>
        <w:pStyle w:val="ListParagraph"/>
        <w:numPr>
          <w:ilvl w:val="0"/>
          <w:numId w:val="2"/>
        </w:numPr>
        <w:spacing w:after="100" w:line="276"/>
      </w:pPr>
      <w:r>
        <w:rPr>
          <w:rFonts w:ascii="Calibri" w:cs="Calibri" w:eastAsia="Calibri" w:hAnsi="Calibri"/>
          <w:sz w:val="22"/>
          <w:szCs w:val="22"/>
        </w:rPr>
        <w:t xml:space="preserve">Long asset lifetimes in this sector mean equipment specified today will still be running when migration is mandatory</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https://quantumacademy.com/courses/quantum-safe-digital-assets/</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Quantum-Safe Digital Assets</dc:title>
  <dc:creator>Post-Quantum Institute</dc:creator>
  <dc:description>Training request letter for Quantum-Safe Digital Assets, Quantum Academy.</dc:description>
  <cp:lastModifiedBy>Un-named</cp:lastModifiedBy>
  <cp:revision>1</cp:revision>
  <dcterms:created xsi:type="dcterms:W3CDTF">2026-08-21T22:35:19.985Z</dcterms:created>
  <dcterms:modified xsi:type="dcterms:W3CDTF">2026-08-21T22:35:19.985Z</dcterms:modified>
</cp:coreProperties>
</file>

<file path=docProps/custom.xml><?xml version="1.0" encoding="utf-8"?>
<Properties xmlns="http://schemas.openxmlformats.org/officeDocument/2006/custom-properties" xmlns:vt="http://schemas.openxmlformats.org/officeDocument/2006/docPropsVTypes"/>
</file>