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Quantum-Safe Financial Services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Quantum-Safe Financial Services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Quantum-Safe Financial Services,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Financial services is among the most cryptography-dense environments in existence. A single mobile banking session triggers approximately 320 cryptographic function calls. A cross-border interbank payment traverses over 30,000 unique cryptographic functions across nine or more parties. Every one of those functions will need to transition to post-quantum algorithms, and the binding constraint is not any one institution's readiness but the coordination across interconnected counterparties, payment networks, and market infrastructure.</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Assess the cryptographic density of financial services environments and identify migration scope</w:t>
      </w:r>
    </w:p>
    <w:p>
      <w:pPr>
        <w:pStyle w:val="ListParagraph"/>
        <w:numPr>
          <w:ilvl w:val="0"/>
          <w:numId w:val="2"/>
        </w:numPr>
        <w:spacing w:after="100" w:line="276"/>
      </w:pPr>
      <w:r>
        <w:rPr>
          <w:rFonts w:ascii="Calibri" w:cs="Calibri" w:eastAsia="Calibri" w:hAnsi="Calibri"/>
          <w:sz w:val="22"/>
          <w:szCs w:val="22"/>
        </w:rPr>
        <w:t xml:space="preserve">Map financial sector regulatory requirements (G7 CEG roadmap, PCI DSS v4.0 Requirement 12.3.3, DORA, NIS2, HKMA Quantum Preparedness Index) to migration timelines</w:t>
      </w:r>
    </w:p>
    <w:p>
      <w:pPr>
        <w:pStyle w:val="ListParagraph"/>
        <w:numPr>
          <w:ilvl w:val="0"/>
          <w:numId w:val="2"/>
        </w:numPr>
        <w:spacing w:after="100" w:line="276"/>
      </w:pPr>
      <w:r>
        <w:rPr>
          <w:rFonts w:ascii="Calibri" w:cs="Calibri" w:eastAsia="Calibri" w:hAnsi="Calibri"/>
          <w:sz w:val="22"/>
          <w:szCs w:val="22"/>
        </w:rPr>
        <w:t xml:space="preserve">Plan multi-party PQC migration across interbank messaging, payment networks, and market infrastructure</w:t>
      </w:r>
    </w:p>
    <w:p>
      <w:pPr>
        <w:pStyle w:val="ListParagraph"/>
        <w:numPr>
          <w:ilvl w:val="0"/>
          <w:numId w:val="2"/>
        </w:numPr>
        <w:spacing w:after="100" w:line="276"/>
      </w:pPr>
      <w:r>
        <w:rPr>
          <w:rFonts w:ascii="Calibri" w:cs="Calibri" w:eastAsia="Calibri" w:hAnsi="Calibri"/>
          <w:sz w:val="22"/>
          <w:szCs w:val="22"/>
        </w:rPr>
        <w:t xml:space="preserve">Address HSM-intensive environments and key management migration challenges</w:t>
      </w:r>
    </w:p>
    <w:p>
      <w:pPr>
        <w:pStyle w:val="ListParagraph"/>
        <w:numPr>
          <w:ilvl w:val="0"/>
          <w:numId w:val="2"/>
        </w:numPr>
        <w:spacing w:after="100" w:line="276"/>
      </w:pPr>
      <w:r>
        <w:rPr>
          <w:rFonts w:ascii="Calibri" w:cs="Calibri" w:eastAsia="Calibri" w:hAnsi="Calibri"/>
          <w:sz w:val="22"/>
          <w:szCs w:val="22"/>
        </w:rPr>
        <w:t xml:space="preserve">Coordinate with sector coordination bodies (FS-ISAC PQC Working Group, Quantum Safe Financial Forum)</w:t>
      </w:r>
    </w:p>
    <w:p>
      <w:pPr>
        <w:pStyle w:val="ListParagraph"/>
        <w:numPr>
          <w:ilvl w:val="0"/>
          <w:numId w:val="2"/>
        </w:numPr>
        <w:spacing w:after="100" w:line="276"/>
      </w:pPr>
      <w:r>
        <w:rPr>
          <w:rFonts w:ascii="Calibri" w:cs="Calibri" w:eastAsia="Calibri" w:hAnsi="Calibri"/>
          <w:sz w:val="22"/>
          <w:szCs w:val="22"/>
        </w:rPr>
        <w:t xml:space="preserve">Apply the financial sector's structural advantages (three-lines governance, examination-hardened evidence culture, mature third-party risk programs) to accelerate migration</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The G7 Cyber Expert Group has issued post-quantum guidance to the financial sector, and DORA raises the bar on ICT risk evidence for EU entities</w:t>
      </w:r>
    </w:p>
    <w:p>
      <w:pPr>
        <w:pStyle w:val="ListParagraph"/>
        <w:numPr>
          <w:ilvl w:val="0"/>
          <w:numId w:val="2"/>
        </w:numPr>
        <w:spacing w:after="100" w:line="276"/>
      </w:pPr>
      <w:r>
        <w:rPr>
          <w:rFonts w:ascii="Calibri" w:cs="Calibri" w:eastAsia="Calibri" w:hAnsi="Calibri"/>
          <w:sz w:val="22"/>
          <w:szCs w:val="22"/>
        </w:rPr>
        <w:t xml:space="preserve">PCI DSS requirement 12.3.3 already obliges organizations to maintain a cryptographic inventory with a plan to respond to algorithm changes</w:t>
      </w:r>
    </w:p>
    <w:p>
      <w:pPr>
        <w:pStyle w:val="ListParagraph"/>
        <w:numPr>
          <w:ilvl w:val="0"/>
          <w:numId w:val="2"/>
        </w:numPr>
        <w:spacing w:after="100" w:line="276"/>
      </w:pPr>
      <w:r>
        <w:rPr>
          <w:rFonts w:ascii="Calibri" w:cs="Calibri" w:eastAsia="Calibri" w:hAnsi="Calibri"/>
          <w:sz w:val="22"/>
          <w:szCs w:val="22"/>
        </w:rPr>
        <w:t xml:space="preserve">Counterparty and settlement dependencies mean migration sequencing cannot be planned by one institution alone</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https://quantumacademy.com/courses/quantum-safe-financial-services/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Quantum-Safe Financial Services</dc:title>
  <dc:creator>Post-Quantum Institute</dc:creator>
  <dc:description>Training request letter for Quantum-Safe Financial Services, Quantum Academy.</dc:description>
  <cp:lastModifiedBy>Un-named</cp:lastModifiedBy>
  <cp:revision>1</cp:revision>
  <dcterms:created xsi:type="dcterms:W3CDTF">2026-08-21T22:35:20.059Z</dcterms:created>
  <dcterms:modified xsi:type="dcterms:W3CDTF">2026-08-21T22:35:20.059Z</dcterms:modified>
</cp:coreProperties>
</file>

<file path=docProps/custom.xml><?xml version="1.0" encoding="utf-8"?>
<Properties xmlns="http://schemas.openxmlformats.org/officeDocument/2006/custom-properties" xmlns:vt="http://schemas.openxmlformats.org/officeDocument/2006/docPropsVTypes"/>
</file>