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9A7B3F"/>
          <w:spacing w:val="40"/>
          <w:sz w:val="18"/>
          <w:szCs w:val="18"/>
        </w:rPr>
        <w:t xml:space="preserve">QUANTUM ACADEMY</w:t>
      </w:r>
    </w:p>
    <w:p>
      <w:pPr>
        <w:pStyle w:val="Heading1"/>
        <w:spacing w:after="120"/>
      </w:pPr>
      <w:r>
        <w:rPr>
          <w:rFonts w:ascii="Calibri" w:cs="Calibri" w:eastAsia="Calibri" w:hAnsi="Calibri"/>
          <w:b/>
          <w:bCs/>
          <w:color w:val="14202E"/>
          <w:sz w:val="34"/>
          <w:szCs w:val="34"/>
        </w:rPr>
        <w:t xml:space="preserve">Justify your training</w:t>
      </w:r>
    </w:p>
    <w:p>
      <w:pPr>
        <w:spacing w:after="140" w:line="276"/>
      </w:pPr>
      <w:r>
        <w:rPr>
          <w:rFonts w:ascii="Calibri" w:cs="Calibri" w:eastAsia="Calibri" w:hAnsi="Calibri"/>
          <w:b/>
          <w:bCs/>
          <w:sz w:val="24"/>
          <w:szCs w:val="24"/>
        </w:rPr>
        <w:t xml:space="preserve">Quantum-Safe Healthcare Intensive</w:t>
      </w:r>
    </w:p>
    <w:p>
      <w:pPr>
        <w:spacing w:after="160" w:line="276"/>
      </w:pPr>
      <w:r>
        <w:rPr>
          <w:rFonts w:ascii="Calibri" w:cs="Calibri" w:eastAsia="Calibri" w:hAnsi="Calibri"/>
          <w:i/>
          <w:iCs/>
          <w:color w:val="5A6672"/>
          <w:sz w:val="20"/>
          <w:szCs w:val="20"/>
        </w:rPr>
        <w:t xml:space="preserve">Use this letter, or the parts of it that fit, to ask for the time and budget to take this course. Paste it into an email to whoever approves training, then replace every bracketed field and cut anything that does not apply to your organization. The more of it you make your own, the better it works.</w:t>
      </w:r>
    </w:p>
    <w:p>
      <w:pPr>
        <w:pBdr>
          <w:bottom w:val="single" w:color="D5D9DE" w:sz="6"/>
        </w:pBdr>
        <w:spacing w:after="200" w:before="200"/>
      </w:pPr>
      <w:r>
        <w:rPr>
          <w:sz w:val="2"/>
          <w:szCs w:val="2"/>
        </w:rPr>
        <w:t xml:space="preserve"/>
      </w:r>
    </w:p>
    <w:p>
      <w:pPr>
        <w:spacing w:after="160" w:line="276"/>
      </w:pPr>
      <w:r>
        <w:rPr>
          <w:rFonts w:ascii="Calibri" w:cs="Calibri" w:eastAsia="Calibri" w:hAnsi="Calibri"/>
          <w:b/>
          <w:bCs/>
          <w:sz w:val="22"/>
          <w:szCs w:val="22"/>
        </w:rPr>
        <w:t xml:space="preserve">Training request: Quantum-Safe Healthcare Intensive</w:t>
      </w:r>
    </w:p>
    <w:p>
      <w:pPr>
        <w:spacing w:after="140" w:line="276"/>
      </w:pPr>
      <w:r>
        <w:rPr>
          <w:rFonts w:ascii="Calibri" w:cs="Calibri" w:eastAsia="Calibri" w:hAnsi="Calibri"/>
          <w:sz w:val="22"/>
          <w:szCs w:val="22"/>
        </w:rPr>
        <w:t xml:space="preserve">[Approver name],</w:t>
      </w:r>
    </w:p>
    <w:p>
      <w:pPr>
        <w:spacing w:after="160" w:line="276"/>
      </w:pPr>
      <w:r>
        <w:rPr>
          <w:rFonts w:ascii="Calibri" w:cs="Calibri" w:eastAsia="Calibri" w:hAnsi="Calibri"/>
          <w:sz w:val="22"/>
          <w:szCs w:val="22"/>
        </w:rPr>
        <w:t xml:space="preserve">I would like to request time and budget approval to take Quantum-Safe Healthcare Intensive, a professional training course from Quantum Academy.</w:t>
      </w:r>
    </w:p>
    <w:p>
      <w:pPr>
        <w:spacing w:after="160" w:line="276"/>
      </w:pPr>
      <w:r>
        <w:rPr>
          <w:rFonts w:ascii="Calibri" w:cs="Calibri" w:eastAsia="Calibri" w:hAnsi="Calibri"/>
          <w:sz w:val="22"/>
          <w:szCs w:val="22"/>
        </w:rPr>
        <w:t xml:space="preserve">Below is what the course covers, what I will be able to do once I have finished it, why the timing matters for us, and what it costs.</w:t>
      </w:r>
    </w:p>
    <w:p>
      <w:pPr>
        <w:pStyle w:val="Heading2"/>
        <w:spacing w:after="120" w:before="300"/>
      </w:pPr>
      <w:r>
        <w:rPr>
          <w:rFonts w:ascii="Calibri" w:cs="Calibri" w:eastAsia="Calibri" w:hAnsi="Calibri"/>
          <w:b/>
          <w:bCs/>
          <w:color w:val="14202E"/>
          <w:sz w:val="24"/>
          <w:szCs w:val="24"/>
        </w:rPr>
        <w:t xml:space="preserve">About the course</w:t>
      </w:r>
    </w:p>
    <w:p>
      <w:pPr>
        <w:spacing w:after="160" w:line="276"/>
      </w:pPr>
      <w:r>
        <w:rPr>
          <w:rFonts w:ascii="Calibri" w:cs="Calibri" w:eastAsia="Calibri" w:hAnsi="Calibri"/>
          <w:sz w:val="22"/>
          <w:szCs w:val="22"/>
        </w:rPr>
        <w:t xml:space="preserve">Patient records carry confidentiality obligations measured in decades, which puts healthcare squarely in the harvest-now-decrypt-later problem. The harder constraint is the device estate. An infusion pump or an imaging system certified years ago cannot be re-cryptographed on a software release schedule, and the regulatory path to changing it runs through the manufacturer. This is a working day. You bring your own systems inventory and your own device population, and you leave with a plan that separates what you can migrate from what you can only mitigate.</w:t>
      </w:r>
    </w:p>
    <w:p>
      <w:pPr>
        <w:pStyle w:val="Heading2"/>
        <w:spacing w:after="120" w:before="300"/>
      </w:pPr>
      <w:r>
        <w:rPr>
          <w:rFonts w:ascii="Calibri" w:cs="Calibri" w:eastAsia="Calibri" w:hAnsi="Calibri"/>
          <w:b/>
          <w:bCs/>
          <w:color w:val="14202E"/>
          <w:sz w:val="24"/>
          <w:szCs w:val="24"/>
        </w:rPr>
        <w:t xml:space="preserve">What I will be able to do afterward</w:t>
      </w:r>
    </w:p>
    <w:p>
      <w:pPr>
        <w:spacing w:after="100" w:line="276"/>
      </w:pPr>
      <w:r>
        <w:rPr>
          <w:rFonts w:ascii="Calibri" w:cs="Calibri" w:eastAsia="Calibri" w:hAnsi="Calibri"/>
          <w:sz w:val="22"/>
          <w:szCs w:val="22"/>
        </w:rPr>
        <w:t xml:space="preserve">Once I have completed the course, I will be able to:</w:t>
      </w:r>
    </w:p>
    <w:p>
      <w:pPr>
        <w:pStyle w:val="ListParagraph"/>
        <w:numPr>
          <w:ilvl w:val="0"/>
          <w:numId w:val="2"/>
        </w:numPr>
        <w:spacing w:after="100" w:line="276"/>
      </w:pPr>
      <w:r>
        <w:rPr>
          <w:rFonts w:ascii="Calibri" w:cs="Calibri" w:eastAsia="Calibri" w:hAnsi="Calibri"/>
          <w:sz w:val="22"/>
          <w:szCs w:val="22"/>
        </w:rPr>
        <w:t xml:space="preserve">Size harvest-now-decrypt-later exposure across patient records, imaging archives, genomic data, and clinical trial data, each of which has a different confidentiality horizon</w:t>
      </w:r>
    </w:p>
    <w:p>
      <w:pPr>
        <w:pStyle w:val="ListParagraph"/>
        <w:numPr>
          <w:ilvl w:val="0"/>
          <w:numId w:val="2"/>
        </w:numPr>
        <w:spacing w:after="100" w:line="276"/>
      </w:pPr>
      <w:r>
        <w:rPr>
          <w:rFonts w:ascii="Calibri" w:cs="Calibri" w:eastAsia="Calibri" w:hAnsi="Calibri"/>
          <w:sz w:val="22"/>
          <w:szCs w:val="22"/>
        </w:rPr>
        <w:t xml:space="preserve">Separate the device population that can be migrated by its manufacturer from the population that can only be isolated, gatewayed, or retired</w:t>
      </w:r>
    </w:p>
    <w:p>
      <w:pPr>
        <w:pStyle w:val="ListParagraph"/>
        <w:numPr>
          <w:ilvl w:val="0"/>
          <w:numId w:val="2"/>
        </w:numPr>
        <w:spacing w:after="100" w:line="276"/>
      </w:pPr>
      <w:r>
        <w:rPr>
          <w:rFonts w:ascii="Calibri" w:cs="Calibri" w:eastAsia="Calibri" w:hAnsi="Calibri"/>
          <w:sz w:val="22"/>
          <w:szCs w:val="22"/>
        </w:rPr>
        <w:t xml:space="preserve">Apply HIPAA Security Rule obligations to migration planning without overstating what the rule currently requires</w:t>
      </w:r>
    </w:p>
    <w:p>
      <w:pPr>
        <w:pStyle w:val="ListParagraph"/>
        <w:numPr>
          <w:ilvl w:val="0"/>
          <w:numId w:val="2"/>
        </w:numPr>
        <w:spacing w:after="100" w:line="276"/>
      </w:pPr>
      <w:r>
        <w:rPr>
          <w:rFonts w:ascii="Calibri" w:cs="Calibri" w:eastAsia="Calibri" w:hAnsi="Calibri"/>
          <w:sz w:val="22"/>
          <w:szCs w:val="22"/>
        </w:rPr>
        <w:t xml:space="preserve">Read FDA premarket and postmarket cybersecurity guidance for what it means for cryptographic change on a certified device</w:t>
      </w:r>
    </w:p>
    <w:p>
      <w:pPr>
        <w:pStyle w:val="ListParagraph"/>
        <w:numPr>
          <w:ilvl w:val="0"/>
          <w:numId w:val="2"/>
        </w:numPr>
        <w:spacing w:after="100" w:line="276"/>
      </w:pPr>
      <w:r>
        <w:rPr>
          <w:rFonts w:ascii="Calibri" w:cs="Calibri" w:eastAsia="Calibri" w:hAnsi="Calibri"/>
          <w:sz w:val="22"/>
          <w:szCs w:val="22"/>
        </w:rPr>
        <w:t xml:space="preserve">Plan EHR and clinical application migration around clinical availability constraints rather than against them</w:t>
      </w:r>
    </w:p>
    <w:p>
      <w:pPr>
        <w:pStyle w:val="ListParagraph"/>
        <w:numPr>
          <w:ilvl w:val="0"/>
          <w:numId w:val="2"/>
        </w:numPr>
        <w:spacing w:after="100" w:line="276"/>
      </w:pPr>
      <w:r>
        <w:rPr>
          <w:rFonts w:ascii="Calibri" w:cs="Calibri" w:eastAsia="Calibri" w:hAnsi="Calibri"/>
          <w:sz w:val="22"/>
          <w:szCs w:val="22"/>
        </w:rPr>
        <w:t xml:space="preserve">Set post-quantum requirements for the next device procurement and the next EHR contract renewal</w:t>
      </w:r>
    </w:p>
    <w:p>
      <w:pPr>
        <w:pStyle w:val="Heading2"/>
        <w:spacing w:after="120" w:before="300"/>
      </w:pPr>
      <w:r>
        <w:rPr>
          <w:rFonts w:ascii="Calibri" w:cs="Calibri" w:eastAsia="Calibri" w:hAnsi="Calibri"/>
          <w:b/>
          <w:bCs/>
          <w:color w:val="14202E"/>
          <w:sz w:val="24"/>
          <w:szCs w:val="24"/>
        </w:rPr>
        <w:t xml:space="preserve">Why this is worth doing now</w:t>
      </w:r>
    </w:p>
    <w:p>
      <w:pPr>
        <w:pStyle w:val="ListParagraph"/>
        <w:numPr>
          <w:ilvl w:val="0"/>
          <w:numId w:val="2"/>
        </w:numPr>
        <w:spacing w:after="100" w:line="276"/>
      </w:pPr>
      <w:r>
        <w:rPr>
          <w:rFonts w:ascii="Calibri" w:cs="Calibri" w:eastAsia="Calibri" w:hAnsi="Calibri"/>
          <w:sz w:val="22"/>
          <w:szCs w:val="22"/>
        </w:rPr>
        <w:t xml:space="preserve">NIST finalized FIPS 203, 204, and 205 in August 2024, which moves post-quantum from research into procurement and audit conversations</w:t>
      </w:r>
    </w:p>
    <w:p>
      <w:pPr>
        <w:pStyle w:val="ListParagraph"/>
        <w:numPr>
          <w:ilvl w:val="0"/>
          <w:numId w:val="2"/>
        </w:numPr>
        <w:spacing w:after="100" w:line="276"/>
      </w:pPr>
      <w:r>
        <w:rPr>
          <w:rFonts w:ascii="Calibri" w:cs="Calibri" w:eastAsia="Calibri" w:hAnsi="Calibri"/>
          <w:sz w:val="22"/>
          <w:szCs w:val="22"/>
        </w:rPr>
        <w:t xml:space="preserve">Sector supervisors and large customers are beginning to ask for post-quantum readiness evidence, and the answers have to be prepared in advance</w:t>
      </w:r>
    </w:p>
    <w:p>
      <w:pPr>
        <w:pStyle w:val="ListParagraph"/>
        <w:numPr>
          <w:ilvl w:val="0"/>
          <w:numId w:val="2"/>
        </w:numPr>
        <w:spacing w:after="100" w:line="276"/>
      </w:pPr>
      <w:r>
        <w:rPr>
          <w:rFonts w:ascii="Calibri" w:cs="Calibri" w:eastAsia="Calibri" w:hAnsi="Calibri"/>
          <w:sz w:val="22"/>
          <w:szCs w:val="22"/>
        </w:rPr>
        <w:t xml:space="preserve">Long asset lifetimes in this sector mean equipment specified today will still be running when migration is mandatory</w:t>
      </w:r>
    </w:p>
    <w:p>
      <w:pPr>
        <w:pStyle w:val="Heading2"/>
        <w:spacing w:after="120" w:before="300"/>
      </w:pPr>
      <w:r>
        <w:rPr>
          <w:rFonts w:ascii="Calibri" w:cs="Calibri" w:eastAsia="Calibri" w:hAnsi="Calibri"/>
          <w:b/>
          <w:bCs/>
          <w:color w:val="14202E"/>
          <w:sz w:val="24"/>
          <w:szCs w:val="24"/>
        </w:rPr>
        <w:t xml:space="preserve">What we get to keep</w:t>
      </w:r>
    </w:p>
    <w:p>
      <w:pPr>
        <w:spacing w:after="100" w:line="276"/>
      </w:pPr>
      <w:r>
        <w:rPr>
          <w:rFonts w:ascii="Calibri" w:cs="Calibri" w:eastAsia="Calibri" w:hAnsi="Calibri"/>
          <w:sz w:val="22"/>
          <w:szCs w:val="22"/>
        </w:rPr>
        <w:t xml:space="preserve">The materials stay with us after the course, which is part of why I am asking for this one rather than a conference session:</w:t>
      </w:r>
    </w:p>
    <w:p>
      <w:pPr>
        <w:pStyle w:val="ListParagraph"/>
        <w:numPr>
          <w:ilvl w:val="0"/>
          <w:numId w:val="2"/>
        </w:numPr>
        <w:spacing w:after="100" w:line="276"/>
      </w:pPr>
      <w:r>
        <w:rPr>
          <w:rFonts w:ascii="Calibri" w:cs="Calibri" w:eastAsia="Calibri" w:hAnsi="Calibri"/>
          <w:sz w:val="22"/>
          <w:szCs w:val="22"/>
        </w:rPr>
        <w:t xml:space="preserve">The full course handbook as a PDF: every slide with the instructor notes written out, so it works as a reference afterward rather than a set of bullets I have to reconstruct from memory. I can share it with the team.</w:t>
      </w:r>
    </w:p>
    <w:p>
      <w:pPr>
        <w:pStyle w:val="ListParagraph"/>
        <w:numPr>
          <w:ilvl w:val="0"/>
          <w:numId w:val="2"/>
        </w:numPr>
        <w:spacing w:after="100" w:line="276"/>
      </w:pPr>
      <w:r>
        <w:rPr>
          <w:rFonts w:ascii="Calibri" w:cs="Calibri" w:eastAsia="Calibri" w:hAnsi="Calibri"/>
          <w:sz w:val="22"/>
          <w:szCs w:val="22"/>
        </w:rPr>
        <w:t xml:space="preserve">A PDF copy of Quantum Ready (quantumready.com), included with the course at no extra cost. It is the reference text behind the material and it stays on our shelf.</w:t>
      </w:r>
    </w:p>
    <w:p>
      <w:pPr>
        <w:pStyle w:val="ListParagraph"/>
        <w:numPr>
          <w:ilvl w:val="0"/>
          <w:numId w:val="2"/>
        </w:numPr>
        <w:spacing w:after="100" w:line="276"/>
      </w:pPr>
      <w:r>
        <w:rPr>
          <w:rFonts w:ascii="Calibri" w:cs="Calibri" w:eastAsia="Calibri" w:hAnsi="Calibri"/>
          <w:sz w:val="22"/>
          <w:szCs w:val="22"/>
        </w:rPr>
        <w:t xml:space="preserve">The working session itself produces a patient data confidentiality horizon model, a device population triage covering migrate, mitigate, and retire, a clinical systems migration sequence built around availability windows, and procurement language for device and software contracts, built from our own environment rather than a worked example. Those come back with me.</w:t>
      </w:r>
    </w:p>
    <w:p>
      <w:pPr>
        <w:pStyle w:val="Heading2"/>
        <w:spacing w:after="120" w:before="300"/>
      </w:pPr>
      <w:r>
        <w:rPr>
          <w:rFonts w:ascii="Calibri" w:cs="Calibri" w:eastAsia="Calibri" w:hAnsi="Calibri"/>
          <w:b/>
          <w:bCs/>
          <w:color w:val="14202E"/>
          <w:sz w:val="24"/>
          <w:szCs w:val="24"/>
        </w:rPr>
        <w:t xml:space="preserve">Cost</w:t>
      </w:r>
    </w:p>
    <w:p>
      <w:pPr>
        <w:spacing w:after="160" w:line="276"/>
      </w:pPr>
      <w:r>
        <w:rPr>
          <w:rFonts w:ascii="Calibri" w:cs="Calibri" w:eastAsia="Calibri" w:hAnsi="Calibri"/>
          <w:sz w:val="22"/>
          <w:szCs w:val="22"/>
        </w:rPr>
        <w:t xml:space="preserve">I would like to take this course [choose one: online on-demand, at my own pace / live online on the session running from [start date] to [end date] / in person at [location] from [start date] to [end date] / as private team training for our group]. Current prices for each format are on the course page linked below.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3360"/>
      </w:tblGrid>
      <w:tr>
        <w:trPr>
          <w:tblHeader/>
        </w:trPr>
        <w:tc>
          <w:tcPr>
            <w:tcW w:type="dxa" w:w="6000"/>
            <w:shd w:fill="F1F3F5" w:color="auto" w:val="clear"/>
            <w:tcMar>
              <w:top w:type="dxa" w:w="80"/>
              <w:left w:type="dxa" w:w="120"/>
              <w:bottom w:type="dxa" w:w="80"/>
              <w:right w:type="dxa" w:w="120"/>
            </w:tcMar>
          </w:tcPr>
          <w:p>
            <w:pPr>
              <w:spacing w:after="0"/>
            </w:pPr>
            <w:r>
              <w:rPr>
                <w:rFonts w:ascii="Calibri" w:cs="Calibri" w:eastAsia="Calibri" w:hAnsi="Calibri"/>
                <w:b/>
                <w:bCs/>
                <w:sz w:val="22"/>
                <w:szCs w:val="22"/>
              </w:rPr>
              <w:t xml:space="preserve">Item</w:t>
            </w:r>
          </w:p>
        </w:tc>
        <w:tc>
          <w:tcPr>
            <w:tcW w:type="dxa" w:w="3360"/>
            <w:shd w:fill="F1F3F5" w:color="auto" w:val="clear"/>
            <w:tcMar>
              <w:top w:type="dxa" w:w="80"/>
              <w:left w:type="dxa" w:w="120"/>
              <w:bottom w:type="dxa" w:w="80"/>
              <w:right w:type="dxa" w:w="120"/>
            </w:tcMar>
          </w:tcPr>
          <w:p>
            <w:pPr>
              <w:spacing w:after="0"/>
            </w:pPr>
            <w:r>
              <w:rPr>
                <w:rFonts w:ascii="Calibri" w:cs="Calibri" w:eastAsia="Calibri" w:hAnsi="Calibri"/>
                <w:b/>
                <w:bCs/>
                <w:sz w:val="22"/>
                <w:szCs w:val="22"/>
              </w:rPr>
              <w:t xml:space="preserve">Amount</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Course fee</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[from the course page]</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Certification exam fee, if taken</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[exam fee]</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Travel and accommodation, in-person only</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[amount]</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Time away from work</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[days]</w:t>
            </w:r>
          </w:p>
        </w:tc>
      </w:tr>
      <w:tr>
        <w:tc>
          <w:tcPr>
            <w:tcW w:type="dxa" w:w="6000"/>
            <w:tcMar>
              <w:top w:type="dxa" w:w="80"/>
              <w:left w:type="dxa" w:w="120"/>
              <w:bottom w:type="dxa" w:w="80"/>
              <w:right w:type="dxa" w:w="120"/>
            </w:tcMar>
          </w:tcPr>
          <w:p>
            <w:pPr>
              <w:spacing w:after="0"/>
            </w:pPr>
            <w:r>
              <w:rPr>
                <w:rFonts w:ascii="Calibri" w:cs="Calibri" w:eastAsia="Calibri" w:hAnsi="Calibri"/>
                <w:b/>
                <w:bCs/>
                <w:sz w:val="22"/>
                <w:szCs w:val="22"/>
              </w:rPr>
              <w:t xml:space="preserve">Total</w:t>
            </w:r>
          </w:p>
        </w:tc>
        <w:tc>
          <w:tcPr>
            <w:tcW w:type="dxa" w:w="3360"/>
            <w:tcMar>
              <w:top w:type="dxa" w:w="80"/>
              <w:left w:type="dxa" w:w="120"/>
              <w:bottom w:type="dxa" w:w="80"/>
              <w:right w:type="dxa" w:w="120"/>
            </w:tcMar>
          </w:tcPr>
          <w:p>
            <w:pPr>
              <w:spacing w:after="0"/>
            </w:pPr>
            <w:r>
              <w:rPr>
                <w:rFonts w:ascii="Calibri" w:cs="Calibri" w:eastAsia="Calibri" w:hAnsi="Calibri"/>
                <w:b/>
                <w:bCs/>
                <w:sz w:val="22"/>
                <w:szCs w:val="22"/>
              </w:rPr>
              <w:t xml:space="preserve">[total]</w:t>
            </w:r>
          </w:p>
        </w:tc>
      </w:tr>
    </w:tbl>
    <w:p>
      <w:pPr>
        <w:spacing w:after="60" w:line="276"/>
      </w:pPr>
      <w:r>
        <w:rPr>
          <w:rFonts w:ascii="Calibri" w:cs="Calibri" w:eastAsia="Calibri" w:hAnsi="Calibri"/>
          <w:sz w:val="22"/>
          <w:szCs w:val="22"/>
        </w:rPr>
        <w:t xml:space="preserve"/>
      </w:r>
    </w:p>
    <w:p>
      <w:pPr>
        <w:spacing w:after="160" w:line="276"/>
      </w:pPr>
      <w:r>
        <w:rPr>
          <w:rFonts w:ascii="Calibri" w:cs="Calibri" w:eastAsia="Calibri" w:hAnsi="Calibri"/>
          <w:color w:val="5A6672"/>
          <w:sz w:val="20"/>
          <w:szCs w:val="20"/>
        </w:rPr>
        <w:t xml:space="preserve">Private team training is quoted per engagement, and for a group it is usually the cheaper route. If several of us would benefit, training@quantumacademy.com will quote it.</w:t>
      </w:r>
    </w:p>
    <w:p>
      <w:pPr>
        <w:pStyle w:val="Heading2"/>
        <w:spacing w:after="120" w:before="300"/>
      </w:pPr>
      <w:r>
        <w:rPr>
          <w:rFonts w:ascii="Calibri" w:cs="Calibri" w:eastAsia="Calibri" w:hAnsi="Calibri"/>
          <w:b/>
          <w:bCs/>
          <w:color w:val="14202E"/>
          <w:sz w:val="24"/>
          <w:szCs w:val="24"/>
        </w:rPr>
        <w:t xml:space="preserve">In closing</w:t>
      </w:r>
    </w:p>
    <w:p>
      <w:pPr>
        <w:spacing w:after="160" w:line="276"/>
      </w:pPr>
      <w:r>
        <w:rPr>
          <w:rFonts w:ascii="Calibri" w:cs="Calibri" w:eastAsia="Calibri" w:hAnsi="Calibri"/>
          <w:sz w:val="22"/>
          <w:szCs w:val="22"/>
        </w:rPr>
        <w:t xml:space="preserve">The material is written and taught by practitioners who do this work in the field, and it is built to be applied rather than filed. I expect to bring it back into our own work immediately.</w:t>
      </w:r>
    </w:p>
    <w:p>
      <w:pPr>
        <w:spacing w:after="160" w:line="276"/>
      </w:pPr>
      <w:r>
        <w:rPr>
          <w:rFonts w:ascii="Calibri" w:cs="Calibri" w:eastAsia="Calibri" w:hAnsi="Calibri"/>
          <w:sz w:val="22"/>
          <w:szCs w:val="22"/>
        </w:rPr>
        <w:t xml:space="preserve">Full course details: https://quantumacademy.com/courses/quantum-safe-healthcare-intensive/</w:t>
      </w:r>
    </w:p>
    <w:p>
      <w:pPr>
        <w:spacing w:after="200" w:line="276"/>
      </w:pPr>
      <w:r>
        <w:rPr>
          <w:rFonts w:ascii="Calibri" w:cs="Calibri" w:eastAsia="Calibri" w:hAnsi="Calibri"/>
          <w:sz w:val="22"/>
          <w:szCs w:val="22"/>
        </w:rPr>
        <w:t xml:space="preserve">Thank you for considering it.</w:t>
      </w:r>
    </w:p>
    <w:p>
      <w:pPr>
        <w:spacing w:after="40" w:line="276"/>
      </w:pPr>
      <w:r>
        <w:rPr>
          <w:rFonts w:ascii="Calibri" w:cs="Calibri" w:eastAsia="Calibri" w:hAnsi="Calibri"/>
          <w:sz w:val="22"/>
          <w:szCs w:val="22"/>
        </w:rPr>
        <w:t xml:space="preserve">[Your name]</w:t>
      </w:r>
    </w:p>
    <w:p>
      <w:pPr>
        <w:spacing w:after="40" w:line="276"/>
      </w:pPr>
      <w:r>
        <w:rPr>
          <w:rFonts w:ascii="Calibri" w:cs="Calibri" w:eastAsia="Calibri" w:hAnsi="Calibri"/>
          <w:sz w:val="22"/>
          <w:szCs w:val="22"/>
        </w:rPr>
        <w:t xml:space="preserve">[Your title]</w:t>
      </w:r>
    </w:p>
    <w:p>
      <w:pPr>
        <w:pBdr>
          <w:bottom w:val="single" w:color="D5D9DE" w:sz="6"/>
        </w:pBdr>
        <w:spacing w:after="200" w:before="200"/>
      </w:pPr>
      <w:r>
        <w:rPr>
          <w:sz w:val="2"/>
          <w:szCs w:val="2"/>
        </w:rPr>
        <w:t xml:space="preserve"/>
      </w:r>
    </w:p>
    <w:p>
      <w:pPr>
        <w:spacing w:after="80" w:line="276"/>
      </w:pPr>
      <w:r>
        <w:rPr>
          <w:rFonts w:ascii="Calibri" w:cs="Calibri" w:eastAsia="Calibri" w:hAnsi="Calibri"/>
          <w:b/>
          <w:bCs/>
          <w:sz w:val="18"/>
          <w:szCs w:val="18"/>
        </w:rPr>
        <w:t xml:space="preserve">About Quantum Academy credentials</w:t>
      </w:r>
    </w:p>
    <w:p>
      <w:pPr>
        <w:spacing w:after="0" w:line="276"/>
      </w:pPr>
      <w:r>
        <w:rPr>
          <w:rFonts w:ascii="Calibri" w:cs="Calibri" w:eastAsia="Calibri" w:hAnsi="Calibri"/>
          <w:color w:val="5A6672"/>
          <w:sz w:val="16"/>
          <w:szCs w:val="16"/>
        </w:rPr>
        <w:t xml:space="preserve">Quantum Academy is the education and certification brand of Post-Quantum Institute, a Delaware corporation. Quantum Academy certifications are private, professional credentials. They are not government-issued licenses, accredited academic degrees, or academic credit, and completing a program does not guarantee employment, promotion, regulatory approval, or any other specific outcome. Courses are educational and informational, and are not legal, compliance, or engineering advice. Prices are in US dollars and are correct on the course page at the time of enrollment.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Justify your training — Quantum-Safe Healthcare Intensive</dc:title>
  <dc:creator>Post-Quantum Institute</dc:creator>
  <dc:description>Training request letter for Quantum-Safe Healthcare Intensive, Quantum Academy.</dc:description>
  <cp:lastModifiedBy>Un-named</cp:lastModifiedBy>
  <cp:revision>1</cp:revision>
  <dcterms:created xsi:type="dcterms:W3CDTF">2026-08-21T22:35:20.113Z</dcterms:created>
  <dcterms:modified xsi:type="dcterms:W3CDTF">2026-08-21T22:35:20.113Z</dcterms:modified>
</cp:coreProperties>
</file>

<file path=docProps/custom.xml><?xml version="1.0" encoding="utf-8"?>
<Properties xmlns="http://schemas.openxmlformats.org/officeDocument/2006/custom-properties" xmlns:vt="http://schemas.openxmlformats.org/officeDocument/2006/docPropsVTypes"/>
</file>