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Healthcare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Healthcare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Healthcare,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Health records have multi-decade sensitivity windows, making them prime harvest-now-decrypt-later targets. Medical devices operate under resource constraints similar to OT environments, with long field lifetimes and limited upgrade paths. FDA guidance on connected medical device cybersecurity is evolving to encompass quantum readiness. For healthcare CISOs and IT leaders, PQC migration intersects with HIPAA compliance, clinical system availability requirements, and the patient safety dimension that makes healthcare technology change uniquely consequential.</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Assess healthcare-specific quantum exposure (patient data confidentiality, device integrity, clinical trial data)</w:t>
      </w:r>
    </w:p>
    <w:p>
      <w:pPr>
        <w:pStyle w:val="ListParagraph"/>
        <w:numPr>
          <w:ilvl w:val="0"/>
          <w:numId w:val="2"/>
        </w:numPr>
        <w:spacing w:after="100" w:line="276"/>
      </w:pPr>
      <w:r>
        <w:rPr>
          <w:rFonts w:ascii="Calibri" w:cs="Calibri" w:eastAsia="Calibri" w:hAnsi="Calibri"/>
          <w:sz w:val="22"/>
          <w:szCs w:val="22"/>
        </w:rPr>
        <w:t xml:space="preserve">Apply HIPAA requirements to PQC migration planning</w:t>
      </w:r>
    </w:p>
    <w:p>
      <w:pPr>
        <w:pStyle w:val="ListParagraph"/>
        <w:numPr>
          <w:ilvl w:val="0"/>
          <w:numId w:val="2"/>
        </w:numPr>
        <w:spacing w:after="100" w:line="276"/>
      </w:pPr>
      <w:r>
        <w:rPr>
          <w:rFonts w:ascii="Calibri" w:cs="Calibri" w:eastAsia="Calibri" w:hAnsi="Calibri"/>
          <w:sz w:val="22"/>
          <w:szCs w:val="22"/>
        </w:rPr>
        <w:t xml:space="preserve">Address medical device cryptographic constraints and FDA cybersecurity guidance</w:t>
      </w:r>
    </w:p>
    <w:p>
      <w:pPr>
        <w:pStyle w:val="ListParagraph"/>
        <w:numPr>
          <w:ilvl w:val="0"/>
          <w:numId w:val="2"/>
        </w:numPr>
        <w:spacing w:after="100" w:line="276"/>
      </w:pPr>
      <w:r>
        <w:rPr>
          <w:rFonts w:ascii="Calibri" w:cs="Calibri" w:eastAsia="Calibri" w:hAnsi="Calibri"/>
          <w:sz w:val="22"/>
          <w:szCs w:val="22"/>
        </w:rPr>
        <w:t xml:space="preserve">Plan EHR system and clinical application migration</w:t>
      </w:r>
    </w:p>
    <w:p>
      <w:pPr>
        <w:pStyle w:val="ListParagraph"/>
        <w:numPr>
          <w:ilvl w:val="0"/>
          <w:numId w:val="2"/>
        </w:numPr>
        <w:spacing w:after="100" w:line="276"/>
      </w:pPr>
      <w:r>
        <w:rPr>
          <w:rFonts w:ascii="Calibri" w:cs="Calibri" w:eastAsia="Calibri" w:hAnsi="Calibri"/>
          <w:sz w:val="22"/>
          <w:szCs w:val="22"/>
        </w:rPr>
        <w:t xml:space="preserve">Evaluate pharmaceutical R&amp;D data protection requirements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Sector supervisors and large customers are beginning to ask for post-quantum readiness evidence, and the answers have to be prepared in advance</w:t>
      </w:r>
    </w:p>
    <w:p>
      <w:pPr>
        <w:pStyle w:val="ListParagraph"/>
        <w:numPr>
          <w:ilvl w:val="0"/>
          <w:numId w:val="2"/>
        </w:numPr>
        <w:spacing w:after="100" w:line="276"/>
      </w:pPr>
      <w:r>
        <w:rPr>
          <w:rFonts w:ascii="Calibri" w:cs="Calibri" w:eastAsia="Calibri" w:hAnsi="Calibri"/>
          <w:sz w:val="22"/>
          <w:szCs w:val="22"/>
        </w:rPr>
        <w:t xml:space="preserve">Long asset lifetimes in this sector mean equipment specified today will still be running when migration is mandatory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https://quantumacademy.com/courses/quantum-safe-healthcare/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Healthcare</dc:title>
  <dc:creator>Post-Quantum Institute</dc:creator>
  <dc:description>Training request letter for Quantum-Safe Healthcare, Quantum Academy.</dc:description>
  <cp:lastModifiedBy>Un-named</cp:lastModifiedBy>
  <cp:revision>1</cp:revision>
  <dcterms:created xsi:type="dcterms:W3CDTF">2026-08-21T22:35:20.103Z</dcterms:created>
  <dcterms:modified xsi:type="dcterms:W3CDTF">2026-08-21T22:35:20.103Z</dcterms:modified>
</cp:coreProperties>
</file>

<file path=docProps/custom.xml><?xml version="1.0" encoding="utf-8"?>
<Properties xmlns="http://schemas.openxmlformats.org/officeDocument/2006/custom-properties" xmlns:vt="http://schemas.openxmlformats.org/officeDocument/2006/docPropsVTypes"/>
</file>