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Insurance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Insurance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Insurance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Insurers face the transition from both sides. Policyholder data carries long confidentiality horizons and the systems holding it have to migrate, which is the same problem every sector has. The second problem is particular: cyber underwriting has to form a view on quantum risk in the books it already carries. This is a working day, delivered privately, and it runs both threads. You leave with a migration plan and with an underwriting position you can defend to a reinsurer.</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Size harvest-now-decrypt-later exposure across policyholder, medical, and claims data with their differing confidentiality horizons</w:t>
      </w:r>
    </w:p>
    <w:p>
      <w:pPr>
        <w:pStyle w:val="ListParagraph"/>
        <w:numPr>
          <w:ilvl w:val="0"/>
          <w:numId w:val="2"/>
        </w:numPr>
        <w:spacing w:after="100" w:line="276"/>
      </w:pPr>
      <w:r>
        <w:rPr>
          <w:rFonts w:ascii="Calibri" w:cs="Calibri" w:eastAsia="Calibri" w:hAnsi="Calibri"/>
          <w:sz w:val="22"/>
          <w:szCs w:val="22"/>
        </w:rPr>
        <w:t xml:space="preserve">Sequence migration across policy administration, claims, and the broker and reinsurer interfaces</w:t>
      </w:r>
    </w:p>
    <w:p>
      <w:pPr>
        <w:pStyle w:val="ListParagraph"/>
        <w:numPr>
          <w:ilvl w:val="0"/>
          <w:numId w:val="2"/>
        </w:numPr>
        <w:spacing w:after="100" w:line="276"/>
      </w:pPr>
      <w:r>
        <w:rPr>
          <w:rFonts w:ascii="Calibri" w:cs="Calibri" w:eastAsia="Calibri" w:hAnsi="Calibri"/>
          <w:sz w:val="22"/>
          <w:szCs w:val="22"/>
        </w:rPr>
        <w:t xml:space="preserve">Form a defensible underwriting position on quantum risk without either pricing a date nobody knows or ignoring the exposure</w:t>
      </w:r>
    </w:p>
    <w:p>
      <w:pPr>
        <w:pStyle w:val="ListParagraph"/>
        <w:numPr>
          <w:ilvl w:val="0"/>
          <w:numId w:val="2"/>
        </w:numPr>
        <w:spacing w:after="100" w:line="276"/>
      </w:pPr>
      <w:r>
        <w:rPr>
          <w:rFonts w:ascii="Calibri" w:cs="Calibri" w:eastAsia="Calibri" w:hAnsi="Calibri"/>
          <w:sz w:val="22"/>
          <w:szCs w:val="22"/>
        </w:rPr>
        <w:t xml:space="preserve">Assess accumulation risk across a cyber book where insureds share cryptographic dependencies</w:t>
      </w:r>
    </w:p>
    <w:p>
      <w:pPr>
        <w:pStyle w:val="ListParagraph"/>
        <w:numPr>
          <w:ilvl w:val="0"/>
          <w:numId w:val="2"/>
        </w:numPr>
        <w:spacing w:after="100" w:line="276"/>
      </w:pPr>
      <w:r>
        <w:rPr>
          <w:rFonts w:ascii="Calibri" w:cs="Calibri" w:eastAsia="Calibri" w:hAnsi="Calibri"/>
          <w:sz w:val="22"/>
          <w:szCs w:val="22"/>
        </w:rPr>
        <w:t xml:space="preserve">Read a client's post-quantum readiness claim critically during underwriting</w:t>
      </w:r>
    </w:p>
    <w:p>
      <w:pPr>
        <w:pStyle w:val="ListParagraph"/>
        <w:numPr>
          <w:ilvl w:val="0"/>
          <w:numId w:val="2"/>
        </w:numPr>
        <w:spacing w:after="100" w:line="276"/>
      </w:pPr>
      <w:r>
        <w:rPr>
          <w:rFonts w:ascii="Calibri" w:cs="Calibri" w:eastAsia="Calibri" w:hAnsi="Calibri"/>
          <w:sz w:val="22"/>
          <w:szCs w:val="22"/>
        </w:rPr>
        <w:t xml:space="preserve">Draft policy wording questions that need answering before the market settles them for you</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G7 Cyber Expert Group has issued post-quantum guidance to the financial sector, and DORA raises the bar on ICT risk evidence for EU entities</w:t>
      </w:r>
    </w:p>
    <w:p>
      <w:pPr>
        <w:pStyle w:val="ListParagraph"/>
        <w:numPr>
          <w:ilvl w:val="0"/>
          <w:numId w:val="2"/>
        </w:numPr>
        <w:spacing w:after="100" w:line="276"/>
      </w:pPr>
      <w:r>
        <w:rPr>
          <w:rFonts w:ascii="Calibri" w:cs="Calibri" w:eastAsia="Calibri" w:hAnsi="Calibri"/>
          <w:sz w:val="22"/>
          <w:szCs w:val="22"/>
        </w:rPr>
        <w:t xml:space="preserve">PCI DSS requirement 12.3.3 already obliges organizations to maintain a cryptographic inventory with a plan to respond to algorithm changes</w:t>
      </w:r>
    </w:p>
    <w:p>
      <w:pPr>
        <w:pStyle w:val="ListParagraph"/>
        <w:numPr>
          <w:ilvl w:val="0"/>
          <w:numId w:val="2"/>
        </w:numPr>
        <w:spacing w:after="100" w:line="276"/>
      </w:pPr>
      <w:r>
        <w:rPr>
          <w:rFonts w:ascii="Calibri" w:cs="Calibri" w:eastAsia="Calibri" w:hAnsi="Calibri"/>
          <w:sz w:val="22"/>
          <w:szCs w:val="22"/>
        </w:rPr>
        <w:t xml:space="preserve">Counterparty and settlement dependencies mean migration sequencing cannot be planned by one institution alone</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The working session itself produces an internal cryptographic estate map and migration sequence, a quantum risk underwriting position paper, an accumulation exposure model for the cyber book, and a readiness assessment question set for use in underwriting, built from our own environment rather than a worked example. Those come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https://quantumacademy.com/courses/quantum-safe-insurance-intensive/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Insurance Intensive</dc:title>
  <dc:creator>Post-Quantum Institute</dc:creator>
  <dc:description>Training request letter for Quantum-Safe Insurance Intensive, Quantum Academy.</dc:description>
  <cp:lastModifiedBy>Un-named</cp:lastModifiedBy>
  <cp:revision>1</cp:revision>
  <dcterms:created xsi:type="dcterms:W3CDTF">2026-08-21T22:35:20.142Z</dcterms:created>
  <dcterms:modified xsi:type="dcterms:W3CDTF">2026-08-21T22:35:20.142Z</dcterms:modified>
</cp:coreProperties>
</file>

<file path=docProps/custom.xml><?xml version="1.0" encoding="utf-8"?>
<Properties xmlns="http://schemas.openxmlformats.org/officeDocument/2006/custom-properties" xmlns:vt="http://schemas.openxmlformats.org/officeDocument/2006/docPropsVTypes"/>
</file>