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Quantum-Safe Legal and Professional Services</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Quantum-Safe Legal and Professional Services</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Quantum-Safe Legal and Professional Services,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PQC awareness for law firms and advisory practices. Covers privilege exposure, document systems, client advisory duties, and liability.</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Assess privilege and client-confidentiality exposure across document systems, mail, and deal rooms</w:t>
      </w:r>
    </w:p>
    <w:p>
      <w:pPr>
        <w:pStyle w:val="ListParagraph"/>
        <w:numPr>
          <w:ilvl w:val="0"/>
          <w:numId w:val="2"/>
        </w:numPr>
        <w:spacing w:after="100" w:line="276"/>
      </w:pPr>
      <w:r>
        <w:rPr>
          <w:rFonts w:ascii="Calibri" w:cs="Calibri" w:eastAsia="Calibri" w:hAnsi="Calibri"/>
          <w:sz w:val="22"/>
          <w:szCs w:val="22"/>
        </w:rPr>
        <w:t xml:space="preserve">Sequence migration so the systems holding the longest-lived material move first</w:t>
      </w:r>
    </w:p>
    <w:p>
      <w:pPr>
        <w:pStyle w:val="ListParagraph"/>
        <w:numPr>
          <w:ilvl w:val="0"/>
          <w:numId w:val="2"/>
        </w:numPr>
        <w:spacing w:after="100" w:line="276"/>
      </w:pPr>
      <w:r>
        <w:rPr>
          <w:rFonts w:ascii="Calibri" w:cs="Calibri" w:eastAsia="Calibri" w:hAnsi="Calibri"/>
          <w:sz w:val="22"/>
          <w:szCs w:val="22"/>
        </w:rPr>
        <w:t xml:space="preserve">Evaluate the cryptographic posture of the platforms the firm depends on</w:t>
      </w:r>
    </w:p>
    <w:p>
      <w:pPr>
        <w:pStyle w:val="ListParagraph"/>
        <w:numPr>
          <w:ilvl w:val="0"/>
          <w:numId w:val="2"/>
        </w:numPr>
        <w:spacing w:after="100" w:line="276"/>
      </w:pPr>
      <w:r>
        <w:rPr>
          <w:rFonts w:ascii="Calibri" w:cs="Calibri" w:eastAsia="Calibri" w:hAnsi="Calibri"/>
          <w:sz w:val="22"/>
          <w:szCs w:val="22"/>
        </w:rPr>
        <w:t xml:space="preserve">Decide what the firm tells clients about this subject, and when</w:t>
      </w:r>
    </w:p>
    <w:p>
      <w:pPr>
        <w:pStyle w:val="ListParagraph"/>
        <w:numPr>
          <w:ilvl w:val="0"/>
          <w:numId w:val="2"/>
        </w:numPr>
        <w:spacing w:after="100" w:line="276"/>
      </w:pPr>
      <w:r>
        <w:rPr>
          <w:rFonts w:ascii="Calibri" w:cs="Calibri" w:eastAsia="Calibri" w:hAnsi="Calibri"/>
          <w:sz w:val="22"/>
          <w:szCs w:val="22"/>
        </w:rPr>
        <w:t xml:space="preserve">Judge whether advising on it creates an obligation to have addressed it internally</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NIST finalized FIPS 203, 204, and 205 in August 2024, which moves post-quantum from research into procurement and audit conversations</w:t>
      </w:r>
    </w:p>
    <w:p>
      <w:pPr>
        <w:pStyle w:val="ListParagraph"/>
        <w:numPr>
          <w:ilvl w:val="0"/>
          <w:numId w:val="2"/>
        </w:numPr>
        <w:spacing w:after="100" w:line="276"/>
      </w:pPr>
      <w:r>
        <w:rPr>
          <w:rFonts w:ascii="Calibri" w:cs="Calibri" w:eastAsia="Calibri" w:hAnsi="Calibri"/>
          <w:sz w:val="22"/>
          <w:szCs w:val="22"/>
        </w:rPr>
        <w:t xml:space="preserve">Sector supervisors and large customers are beginning to ask for post-quantum readiness evidence, and the answers have to be prepared in advance</w:t>
      </w:r>
    </w:p>
    <w:p>
      <w:pPr>
        <w:pStyle w:val="ListParagraph"/>
        <w:numPr>
          <w:ilvl w:val="0"/>
          <w:numId w:val="2"/>
        </w:numPr>
        <w:spacing w:after="100" w:line="276"/>
      </w:pPr>
      <w:r>
        <w:rPr>
          <w:rFonts w:ascii="Calibri" w:cs="Calibri" w:eastAsia="Calibri" w:hAnsi="Calibri"/>
          <w:sz w:val="22"/>
          <w:szCs w:val="22"/>
        </w:rPr>
        <w:t xml:space="preserve">Long asset lifetimes in this sector mean equipment specified today will still be running when migration is mandatory</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every slide with the instructor notes written out, so it works as a reference afterward rather than a set of bullets I have to reconstruct from memory. I can share it with the team.</w:t>
      </w:r>
    </w:p>
    <w:p>
      <w:pPr>
        <w:pStyle w:val="ListParagraph"/>
        <w:numPr>
          <w:ilvl w:val="0"/>
          <w:numId w:val="2"/>
        </w:numPr>
        <w:spacing w:after="100" w:line="276"/>
      </w:pPr>
      <w:r>
        <w:rPr>
          <w:rFonts w:ascii="Calibri" w:cs="Calibri" w:eastAsia="Calibri" w:hAnsi="Calibri"/>
          <w:sz w:val="22"/>
          <w:szCs w:val="22"/>
        </w:rPr>
        <w:t xml:space="preserve">A PDF copy of Quantum Ready (quantumready.com), included with the course at no extra cost. It is the reference text behind the material and it stays on our shelf.</w:t>
      </w:r>
    </w:p>
    <w:p>
      <w:pPr>
        <w:pStyle w:val="ListParagraph"/>
        <w:numPr>
          <w:ilvl w:val="0"/>
          <w:numId w:val="2"/>
        </w:numPr>
        <w:spacing w:after="100" w:line="276"/>
      </w:pPr>
      <w:r>
        <w:rPr>
          <w:rFonts w:ascii="Calibri" w:cs="Calibri" w:eastAsia="Calibri" w:hAnsi="Calibri"/>
          <w:sz w:val="22"/>
          <w:szCs w:val="22"/>
        </w:rPr>
        <w:t xml:space="preserve">[If the course lists worksheets, templates, or models, name the ones that matter to us here.]</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Current prices for each format are on the course page linked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tblHeader/>
        </w:trPr>
        <w:tc>
          <w:tcPr>
            <w:tcW w:type="dxa" w:w="600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Course fee</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[from the course page]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Certification exam fee, if taken</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[exam fee]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[days]</w:t>
            </w:r>
          </w:p>
        </w:tc>
      </w:tr>
      <w:t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https://quantumacademy.com/courses/quantum-safe-legal-professional-services/</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Quantum-Safe Legal and Professional Services</dc:title>
  <dc:creator>Post-Quantum Institute</dc:creator>
  <dc:description>Training request letter for Quantum-Safe Legal and Professional Services, Quantum Academy.</dc:description>
  <cp:lastModifiedBy>Un-named</cp:lastModifiedBy>
  <cp:revision>1</cp:revision>
  <dcterms:created xsi:type="dcterms:W3CDTF">2026-08-21T22:35:20.150Z</dcterms:created>
  <dcterms:modified xsi:type="dcterms:W3CDTF">2026-08-21T22:35:20.150Z</dcterms:modified>
</cp:coreProperties>
</file>

<file path=docProps/custom.xml><?xml version="1.0" encoding="utf-8"?>
<Properties xmlns="http://schemas.openxmlformats.org/officeDocument/2006/custom-properties" xmlns:vt="http://schemas.openxmlformats.org/officeDocument/2006/docPropsVTypes"/>
</file>