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OT and Critical Infrastructure</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OT and Critical Infrastructure</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OT and Critical Infrastructure,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Operational technology environments present the hardest PQC migration challenges in any sector. Patching windows may be annual, tied to planned facility shutdowns. A significant share of deployed devices cannot be upgraded to post-quantum cryptography at all: lightweight processors that struggle with today's algorithms will not run tomorrow's larger ones, firmware that has never been updated will not start now, and some vendors no longer exist. For these populations, the honest options are encapsulation behind a quantum-safe gateway, isolation, or early retirement, and none of these is quick or cheap.</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Assess PQC migration constraints in OT environments (safety cases, patching windows, device lifetimes)</w:t>
      </w:r>
    </w:p>
    <w:p>
      <w:pPr>
        <w:pStyle w:val="ListParagraph"/>
        <w:numPr>
          <w:ilvl w:val="0"/>
          <w:numId w:val="2"/>
        </w:numPr>
        <w:spacing w:after="100" w:line="276"/>
      </w:pPr>
      <w:r>
        <w:rPr>
          <w:rFonts w:ascii="Calibri" w:cs="Calibri" w:eastAsia="Calibri" w:hAnsi="Calibri"/>
          <w:sz w:val="22"/>
          <w:szCs w:val="22"/>
        </w:rPr>
        <w:t xml:space="preserve">Identify un-upgradeable device populations and plan appropriate mitigation (gateway, isolation, retirement)</w:t>
      </w:r>
    </w:p>
    <w:p>
      <w:pPr>
        <w:pStyle w:val="ListParagraph"/>
        <w:numPr>
          <w:ilvl w:val="0"/>
          <w:numId w:val="2"/>
        </w:numPr>
        <w:spacing w:after="100" w:line="276"/>
      </w:pPr>
      <w:r>
        <w:rPr>
          <w:rFonts w:ascii="Calibri" w:cs="Calibri" w:eastAsia="Calibri" w:hAnsi="Calibri"/>
          <w:sz w:val="22"/>
          <w:szCs w:val="22"/>
        </w:rPr>
        <w:t xml:space="preserve">Apply ICS/SCADA protocol considerations to PQC planning</w:t>
      </w:r>
    </w:p>
    <w:p>
      <w:pPr>
        <w:pStyle w:val="ListParagraph"/>
        <w:numPr>
          <w:ilvl w:val="0"/>
          <w:numId w:val="2"/>
        </w:numPr>
        <w:spacing w:after="100" w:line="276"/>
      </w:pPr>
      <w:r>
        <w:rPr>
          <w:rFonts w:ascii="Calibri" w:cs="Calibri" w:eastAsia="Calibri" w:hAnsi="Calibri"/>
          <w:sz w:val="22"/>
          <w:szCs w:val="22"/>
        </w:rPr>
        <w:t xml:space="preserve">Navigate the NIS2 and sector-specific compliance overlay for critical infrastructure</w:t>
      </w:r>
    </w:p>
    <w:p>
      <w:pPr>
        <w:pStyle w:val="ListParagraph"/>
        <w:numPr>
          <w:ilvl w:val="0"/>
          <w:numId w:val="2"/>
        </w:numPr>
        <w:spacing w:after="100" w:line="276"/>
      </w:pPr>
      <w:r>
        <w:rPr>
          <w:rFonts w:ascii="Calibri" w:cs="Calibri" w:eastAsia="Calibri" w:hAnsi="Calibri"/>
          <w:sz w:val="22"/>
          <w:szCs w:val="22"/>
        </w:rPr>
        <w:t xml:space="preserve">Design PQC migration plans that respect safety-case constraints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which moves post-quantum from research into procurement and audit conversations</w:t>
      </w:r>
    </w:p>
    <w:p>
      <w:pPr>
        <w:pStyle w:val="ListParagraph"/>
        <w:numPr>
          <w:ilvl w:val="0"/>
          <w:numId w:val="2"/>
        </w:numPr>
        <w:spacing w:after="100" w:line="276"/>
      </w:pPr>
      <w:r>
        <w:rPr>
          <w:rFonts w:ascii="Calibri" w:cs="Calibri" w:eastAsia="Calibri" w:hAnsi="Calibri"/>
          <w:sz w:val="22"/>
          <w:szCs w:val="22"/>
        </w:rPr>
        <w:t xml:space="preserve">Sector supervisors and large customers are beginning to ask for post-quantum readiness evidence, and the answers have to be prepared in advance</w:t>
      </w:r>
    </w:p>
    <w:p>
      <w:pPr>
        <w:pStyle w:val="ListParagraph"/>
        <w:numPr>
          <w:ilvl w:val="0"/>
          <w:numId w:val="2"/>
        </w:numPr>
        <w:spacing w:after="100" w:line="276"/>
      </w:pPr>
      <w:r>
        <w:rPr>
          <w:rFonts w:ascii="Calibri" w:cs="Calibri" w:eastAsia="Calibri" w:hAnsi="Calibri"/>
          <w:sz w:val="22"/>
          <w:szCs w:val="22"/>
        </w:rPr>
        <w:t xml:space="preserve">Long asset lifetimes in this sector mean equipment specified today will still be running when migration is mandatory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https://quantumacademy.com/courses/quantum-safe-ot-critical-infrastructure/</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OT and Critical Infrastructure</dc:title>
  <dc:creator>Post-Quantum Institute</dc:creator>
  <dc:description>Training request letter for Quantum-Safe OT and Critical Infrastructure, Quantum Academy.</dc:description>
  <cp:lastModifiedBy>Un-named</cp:lastModifiedBy>
  <cp:revision>1</cp:revision>
  <dcterms:created xsi:type="dcterms:W3CDTF">2026-08-21T22:35:20.182Z</dcterms:created>
  <dcterms:modified xsi:type="dcterms:W3CDTF">2026-08-21T22:35:20.182Z</dcterms:modified>
</cp:coreProperties>
</file>

<file path=docProps/custom.xml><?xml version="1.0" encoding="utf-8"?>
<Properties xmlns="http://schemas.openxmlformats.org/officeDocument/2006/custom-properties" xmlns:vt="http://schemas.openxmlformats.org/officeDocument/2006/docPropsVTypes"/>
</file>