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Quantum-Safe Payments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Quantum-Safe Payments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Quantum-Safe Payments,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Payment systems face some of the most constrained PQC migration challenges in any sector. The 300-millisecond contactless authorization budget leaves little room for the larger keys and signatures that post-quantum algorithms require. The installed base of nearly 20 billion cards running on 32-bit processors cannot be upgraded in place. Terminal and ATM refresh cycles run 7 to 15 years. Dual FIPS 140-3 and PCI PTS certification requirements add months to every hardware change. And ISO 8583's approximately 256-byte authentication field was never designed for ML-DSA-44's 2,420-byte signature.</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Assess PQC migration constraints specific to payment authorization flows</w:t>
      </w:r>
    </w:p>
    <w:p>
      <w:pPr>
        <w:pStyle w:val="ListParagraph"/>
        <w:numPr>
          <w:ilvl w:val="0"/>
          <w:numId w:val="2"/>
        </w:numPr>
        <w:spacing w:after="100" w:line="276"/>
      </w:pPr>
      <w:r>
        <w:rPr>
          <w:rFonts w:ascii="Calibri" w:cs="Calibri" w:eastAsia="Calibri" w:hAnsi="Calibri"/>
          <w:sz w:val="22"/>
          <w:szCs w:val="22"/>
        </w:rPr>
        <w:t xml:space="preserve">Evaluate the card and terminal installed base against post-quantum algorithm requirements</w:t>
      </w:r>
    </w:p>
    <w:p>
      <w:pPr>
        <w:pStyle w:val="ListParagraph"/>
        <w:numPr>
          <w:ilvl w:val="0"/>
          <w:numId w:val="2"/>
        </w:numPr>
        <w:spacing w:after="100" w:line="276"/>
      </w:pPr>
      <w:r>
        <w:rPr>
          <w:rFonts w:ascii="Calibri" w:cs="Calibri" w:eastAsia="Calibri" w:hAnsi="Calibri"/>
          <w:sz w:val="22"/>
          <w:szCs w:val="22"/>
        </w:rPr>
        <w:t xml:space="preserve">Apply lessons from BIS Project Leap Phase 2 (post-quantum signed liquidity transfers on Eurosystem test infrastructure)</w:t>
      </w:r>
    </w:p>
    <w:p>
      <w:pPr>
        <w:pStyle w:val="ListParagraph"/>
        <w:numPr>
          <w:ilvl w:val="0"/>
          <w:numId w:val="2"/>
        </w:numPr>
        <w:spacing w:after="100" w:line="276"/>
      </w:pPr>
      <w:r>
        <w:rPr>
          <w:rFonts w:ascii="Calibri" w:cs="Calibri" w:eastAsia="Calibri" w:hAnsi="Calibri"/>
          <w:sz w:val="22"/>
          <w:szCs w:val="22"/>
        </w:rPr>
        <w:t xml:space="preserve">Plan PQC migration within card scheme timelines and certification frameworks</w:t>
      </w:r>
    </w:p>
    <w:p>
      <w:pPr>
        <w:pStyle w:val="ListParagraph"/>
        <w:numPr>
          <w:ilvl w:val="0"/>
          <w:numId w:val="2"/>
        </w:numPr>
        <w:spacing w:after="100" w:line="276"/>
      </w:pPr>
      <w:r>
        <w:rPr>
          <w:rFonts w:ascii="Calibri" w:cs="Calibri" w:eastAsia="Calibri" w:hAnsi="Calibri"/>
          <w:sz w:val="22"/>
          <w:szCs w:val="22"/>
        </w:rPr>
        <w:t xml:space="preserve">Use the ISO 20022 messaging migration as a parallel modernization window</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The G7 Cyber Expert Group has issued post-quantum guidance to the financial sector, and DORA raises the bar on ICT risk evidence for EU entities</w:t>
      </w:r>
    </w:p>
    <w:p>
      <w:pPr>
        <w:pStyle w:val="ListParagraph"/>
        <w:numPr>
          <w:ilvl w:val="0"/>
          <w:numId w:val="2"/>
        </w:numPr>
        <w:spacing w:after="100" w:line="276"/>
      </w:pPr>
      <w:r>
        <w:rPr>
          <w:rFonts w:ascii="Calibri" w:cs="Calibri" w:eastAsia="Calibri" w:hAnsi="Calibri"/>
          <w:sz w:val="22"/>
          <w:szCs w:val="22"/>
        </w:rPr>
        <w:t xml:space="preserve">PCI DSS requirement 12.3.3 already obliges organizations to maintain a cryptographic inventory with a plan to respond to algorithm changes</w:t>
      </w:r>
    </w:p>
    <w:p>
      <w:pPr>
        <w:pStyle w:val="ListParagraph"/>
        <w:numPr>
          <w:ilvl w:val="0"/>
          <w:numId w:val="2"/>
        </w:numPr>
        <w:spacing w:after="100" w:line="276"/>
      </w:pPr>
      <w:r>
        <w:rPr>
          <w:rFonts w:ascii="Calibri" w:cs="Calibri" w:eastAsia="Calibri" w:hAnsi="Calibri"/>
          <w:sz w:val="22"/>
          <w:szCs w:val="22"/>
        </w:rPr>
        <w:t xml:space="preserve">Counterparty and settlement dependencies mean migration sequencing cannot be planned by one institution alone</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https://quantumacademy.com/courses/quantum-safe-payments/</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Quantum-Safe Payments</dc:title>
  <dc:creator>Post-Quantum Institute</dc:creator>
  <dc:description>Training request letter for Quantum-Safe Payments, Quantum Academy.</dc:description>
  <cp:lastModifiedBy>Un-named</cp:lastModifiedBy>
  <cp:revision>1</cp:revision>
  <dcterms:created xsi:type="dcterms:W3CDTF">2026-08-21T22:35:20.212Z</dcterms:created>
  <dcterms:modified xsi:type="dcterms:W3CDTF">2026-08-21T22:35:20.212Z</dcterms:modified>
</cp:coreProperties>
</file>

<file path=docProps/custom.xml><?xml version="1.0" encoding="utf-8"?>
<Properties xmlns="http://schemas.openxmlformats.org/officeDocument/2006/custom-properties" xmlns:vt="http://schemas.openxmlformats.org/officeDocument/2006/docPropsVTypes"/>
</file>