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Quantum-Safe Telecommunications Intensive</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course.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Quantum-Safe Telecommunications Intensive</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Quantum-Safe Telecommunications Intensive, a professional training course from Quantum Academy.</w:t>
      </w:r>
    </w:p>
    <w:p>
      <w:pPr>
        <w:spacing w:after="160" w:line="276"/>
      </w:pPr>
      <w:r>
        <w:rPr>
          <w:rFonts w:ascii="Calibri" w:cs="Calibri" w:eastAsia="Calibri" w:hAnsi="Calibri"/>
          <w:sz w:val="22"/>
          <w:szCs w:val="22"/>
        </w:rPr>
        <w:t xml:space="preserve">Below is what the course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course</w:t>
      </w:r>
    </w:p>
    <w:p>
      <w:pPr>
        <w:spacing w:after="160" w:line="276"/>
      </w:pPr>
      <w:r>
        <w:rPr>
          <w:rFonts w:ascii="Calibri" w:cs="Calibri" w:eastAsia="Calibri" w:hAnsi="Calibri"/>
          <w:sz w:val="22"/>
          <w:szCs w:val="22"/>
        </w:rPr>
        <w:t xml:space="preserve">Telecom operators cannot migrate on their own schedule. The cryptographic estate spans the 5G core, the radio access network, transport, signaling, and hundreds of millions of subscriber credentials, and most of it moves only when 3GPP and a handful of equipment vendors decide it moves. Planning around that dependency is the work. This is a working day, not a lecture. You bring your own network, your own vendor contracts, and your own refresh cycles, and you leave with a migration plan sequenced against the constraints that actually govern it.</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course, I will be able to:</w:t>
      </w:r>
    </w:p>
    <w:p>
      <w:pPr>
        <w:pStyle w:val="ListParagraph"/>
        <w:numPr>
          <w:ilvl w:val="0"/>
          <w:numId w:val="2"/>
        </w:numPr>
        <w:spacing w:after="100" w:line="276"/>
      </w:pPr>
      <w:r>
        <w:rPr>
          <w:rFonts w:ascii="Calibri" w:cs="Calibri" w:eastAsia="Calibri" w:hAnsi="Calibri"/>
          <w:sz w:val="22"/>
          <w:szCs w:val="22"/>
        </w:rPr>
        <w:t xml:space="preserve">Map your cryptographic estate across the 5G core, radio, transport, signaling, and subscriber identity, and mark what you control against what a vendor controls</w:t>
      </w:r>
    </w:p>
    <w:p>
      <w:pPr>
        <w:pStyle w:val="ListParagraph"/>
        <w:numPr>
          <w:ilvl w:val="0"/>
          <w:numId w:val="2"/>
        </w:numPr>
        <w:spacing w:after="100" w:line="276"/>
      </w:pPr>
      <w:r>
        <w:rPr>
          <w:rFonts w:ascii="Calibri" w:cs="Calibri" w:eastAsia="Calibri" w:hAnsi="Calibri"/>
          <w:sz w:val="22"/>
          <w:szCs w:val="22"/>
        </w:rPr>
        <w:t xml:space="preserve">Turn 3GPP working group status into a dated planning assumption, and say what you do while a decision is still open</w:t>
      </w:r>
    </w:p>
    <w:p>
      <w:pPr>
        <w:pStyle w:val="ListParagraph"/>
        <w:numPr>
          <w:ilvl w:val="0"/>
          <w:numId w:val="2"/>
        </w:numPr>
        <w:spacing w:after="100" w:line="276"/>
      </w:pPr>
      <w:r>
        <w:rPr>
          <w:rFonts w:ascii="Calibri" w:cs="Calibri" w:eastAsia="Calibri" w:hAnsi="Calibri"/>
          <w:sz w:val="22"/>
          <w:szCs w:val="22"/>
        </w:rPr>
        <w:t xml:space="preserve">Assess your SIM and USIM population for post-quantum subscriber authentication, including the part of it you cannot reach</w:t>
      </w:r>
    </w:p>
    <w:p>
      <w:pPr>
        <w:pStyle w:val="ListParagraph"/>
        <w:numPr>
          <w:ilvl w:val="0"/>
          <w:numId w:val="2"/>
        </w:numPr>
        <w:spacing w:after="100" w:line="276"/>
      </w:pPr>
      <w:r>
        <w:rPr>
          <w:rFonts w:ascii="Calibri" w:cs="Calibri" w:eastAsia="Calibri" w:hAnsi="Calibri"/>
          <w:sz w:val="22"/>
          <w:szCs w:val="22"/>
        </w:rPr>
        <w:t xml:space="preserve">Sequence Open RAN and disaggregated components separately from the monolithic estate, since they migrate on different timelines</w:t>
      </w:r>
    </w:p>
    <w:p>
      <w:pPr>
        <w:pStyle w:val="ListParagraph"/>
        <w:numPr>
          <w:ilvl w:val="0"/>
          <w:numId w:val="2"/>
        </w:numPr>
        <w:spacing w:after="100" w:line="276"/>
      </w:pPr>
      <w:r>
        <w:rPr>
          <w:rFonts w:ascii="Calibri" w:cs="Calibri" w:eastAsia="Calibri" w:hAnsi="Calibri"/>
          <w:sz w:val="22"/>
          <w:szCs w:val="22"/>
        </w:rPr>
        <w:t xml:space="preserve">Write post-quantum requirements into the next equipment refresh rather than treating migration as a separate program</w:t>
      </w:r>
    </w:p>
    <w:p>
      <w:pPr>
        <w:pStyle w:val="ListParagraph"/>
        <w:numPr>
          <w:ilvl w:val="0"/>
          <w:numId w:val="2"/>
        </w:numPr>
        <w:spacing w:after="100" w:line="276"/>
      </w:pPr>
      <w:r>
        <w:rPr>
          <w:rFonts w:ascii="Calibri" w:cs="Calibri" w:eastAsia="Calibri" w:hAnsi="Calibri"/>
          <w:sz w:val="22"/>
          <w:szCs w:val="22"/>
        </w:rPr>
        <w:t xml:space="preserve">Brief a regulator or a board on where the network stands and what the next 18 months require</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NIST finalized FIPS 203, 204, and 205 in August 2024, which moves post-quantum from research into procurement and audit conversations</w:t>
      </w:r>
    </w:p>
    <w:p>
      <w:pPr>
        <w:pStyle w:val="ListParagraph"/>
        <w:numPr>
          <w:ilvl w:val="0"/>
          <w:numId w:val="2"/>
        </w:numPr>
        <w:spacing w:after="100" w:line="276"/>
      </w:pPr>
      <w:r>
        <w:rPr>
          <w:rFonts w:ascii="Calibri" w:cs="Calibri" w:eastAsia="Calibri" w:hAnsi="Calibri"/>
          <w:sz w:val="22"/>
          <w:szCs w:val="22"/>
        </w:rPr>
        <w:t xml:space="preserve">Sector supervisors and large customers are beginning to ask for post-quantum readiness evidence, and the answers have to be prepared in advance</w:t>
      </w:r>
    </w:p>
    <w:p>
      <w:pPr>
        <w:pStyle w:val="ListParagraph"/>
        <w:numPr>
          <w:ilvl w:val="0"/>
          <w:numId w:val="2"/>
        </w:numPr>
        <w:spacing w:after="100" w:line="276"/>
      </w:pPr>
      <w:r>
        <w:rPr>
          <w:rFonts w:ascii="Calibri" w:cs="Calibri" w:eastAsia="Calibri" w:hAnsi="Calibri"/>
          <w:sz w:val="22"/>
          <w:szCs w:val="22"/>
        </w:rPr>
        <w:t xml:space="preserve">Long asset lifetimes in this sector mean equipment specified today will still be running when migration is mandatory</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course,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every slide with the instructor notes written out, so it works as a reference afterward rather than a set of bullets I have to reconstruct from memory. I can share it with the team.</w:t>
      </w:r>
    </w:p>
    <w:p>
      <w:pPr>
        <w:pStyle w:val="ListParagraph"/>
        <w:numPr>
          <w:ilvl w:val="0"/>
          <w:numId w:val="2"/>
        </w:numPr>
        <w:spacing w:after="100" w:line="276"/>
      </w:pPr>
      <w:r>
        <w:rPr>
          <w:rFonts w:ascii="Calibri" w:cs="Calibri" w:eastAsia="Calibri" w:hAnsi="Calibri"/>
          <w:sz w:val="22"/>
          <w:szCs w:val="22"/>
        </w:rPr>
        <w:t xml:space="preserve">A PDF copy of Quantum Ready (quantumready.com), included with the course at no extra cost. It is the reference text behind the material and it stays on our shelf.</w:t>
      </w:r>
    </w:p>
    <w:p>
      <w:pPr>
        <w:pStyle w:val="ListParagraph"/>
        <w:numPr>
          <w:ilvl w:val="0"/>
          <w:numId w:val="2"/>
        </w:numPr>
        <w:spacing w:after="100" w:line="276"/>
      </w:pPr>
      <w:r>
        <w:rPr>
          <w:rFonts w:ascii="Calibri" w:cs="Calibri" w:eastAsia="Calibri" w:hAnsi="Calibri"/>
          <w:sz w:val="22"/>
          <w:szCs w:val="22"/>
        </w:rPr>
        <w:t xml:space="preserve">The working session itself produces a network cryptographic estate map covering core, radio, transport, and signaling, a vendor dependency register scoring each element by who controls the timeline, a subscriber credential migration model, and a twelve-month roadmap skeleton ready for budgeting, built from our own environment rather than a worked example. Those come back with me.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course [choose one: online on-demand, at my own pace / live online on the session running from [start date] to [end date] / in person at [location] from [start date] to [end date] / as private team training for our group].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Course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Certification exam fee, if taken</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[exam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[days]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Private team training is quoted per engagement, and for a group it is usually the cheaper route. If several of us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https://quantumacademy.com/courses/quantum-safe-telecommunications-intensive/</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Quantum-Safe Telecommunications Intensive</dc:title>
  <dc:creator>Post-Quantum Institute</dc:creator>
  <dc:description>Training request letter for Quantum-Safe Telecommunications Intensive, Quantum Academy.</dc:description>
  <cp:lastModifiedBy>Un-named</cp:lastModifiedBy>
  <cp:revision>1</cp:revision>
  <dcterms:created xsi:type="dcterms:W3CDTF">2026-08-21T22:35:20.251Z</dcterms:created>
  <dcterms:modified xsi:type="dcterms:W3CDTF">2026-08-21T22:35:20.251Z</dcterms:modified>
</cp:coreProperties>
</file>

<file path=docProps/custom.xml><?xml version="1.0" encoding="utf-8"?>
<Properties xmlns="http://schemas.openxmlformats.org/officeDocument/2006/custom-properties" xmlns:vt="http://schemas.openxmlformats.org/officeDocument/2006/docPropsVTypes"/>
</file>