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Supply Chains and Geopolitics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Supply Chains and Geopolitics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Supply Chains and Geopolitics,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Quantum technology has joined the shortest of strategic control lists. Governments have moved to restrict who can invest in it, who can export it, who can access it, and on what terms. Export controls, investment bans, and coordinated trade restrictions have fractured the global quantum ecosystem along geopolitical lines. Technology partnerships that were stable for decades are being renegotiated or severed.</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the six dimensions of quantum sovereignty (cryptographic, compute, supply chain, sensing, talent, architectural)</w:t>
      </w:r>
    </w:p>
    <w:p>
      <w:pPr>
        <w:pStyle w:val="ListParagraph"/>
        <w:numPr>
          <w:ilvl w:val="0"/>
          <w:numId w:val="2"/>
        </w:numPr>
        <w:spacing w:after="100" w:line="276"/>
      </w:pPr>
      <w:r>
        <w:rPr>
          <w:rFonts w:ascii="Calibri" w:cs="Calibri" w:eastAsia="Calibri" w:hAnsi="Calibri"/>
          <w:sz w:val="22"/>
          <w:szCs w:val="22"/>
        </w:rPr>
        <w:t xml:space="preserve">Map the supply chains behind each quantum computing hardware modality and identify dependencies and single points of failure</w:t>
      </w:r>
    </w:p>
    <w:p>
      <w:pPr>
        <w:pStyle w:val="ListParagraph"/>
        <w:numPr>
          <w:ilvl w:val="0"/>
          <w:numId w:val="2"/>
        </w:numPr>
        <w:spacing w:after="100" w:line="276"/>
      </w:pPr>
      <w:r>
        <w:rPr>
          <w:rFonts w:ascii="Calibri" w:cs="Calibri" w:eastAsia="Calibri" w:hAnsi="Calibri"/>
          <w:sz w:val="22"/>
          <w:szCs w:val="22"/>
        </w:rPr>
        <w:t xml:space="preserve">Evaluate the impact of export controls and investment restrictions on technology access</w:t>
      </w:r>
    </w:p>
    <w:p>
      <w:pPr>
        <w:pStyle w:val="ListParagraph"/>
        <w:numPr>
          <w:ilvl w:val="0"/>
          <w:numId w:val="2"/>
        </w:numPr>
        <w:spacing w:after="100" w:line="276"/>
      </w:pPr>
      <w:r>
        <w:rPr>
          <w:rFonts w:ascii="Calibri" w:cs="Calibri" w:eastAsia="Calibri" w:hAnsi="Calibri"/>
          <w:sz w:val="22"/>
          <w:szCs w:val="22"/>
        </w:rPr>
        <w:t xml:space="preserve">Analyze China's quantum ecosystem as a case study in strategic quantum development</w:t>
      </w:r>
    </w:p>
    <w:p>
      <w:pPr>
        <w:pStyle w:val="ListParagraph"/>
        <w:numPr>
          <w:ilvl w:val="0"/>
          <w:numId w:val="2"/>
        </w:numPr>
        <w:spacing w:after="100" w:line="276"/>
      </w:pPr>
      <w:r>
        <w:rPr>
          <w:rFonts w:ascii="Calibri" w:cs="Calibri" w:eastAsia="Calibri" w:hAnsi="Calibri"/>
          <w:sz w:val="22"/>
          <w:szCs w:val="22"/>
        </w:rPr>
        <w:t xml:space="preserve">Apply the concept of sovereign optionality: maintaining freedom of action without pursuing total self-sufficiency</w:t>
      </w:r>
    </w:p>
    <w:p>
      <w:pPr>
        <w:pStyle w:val="ListParagraph"/>
        <w:numPr>
          <w:ilvl w:val="0"/>
          <w:numId w:val="2"/>
        </w:numPr>
        <w:spacing w:after="100" w:line="276"/>
      </w:pPr>
      <w:r>
        <w:rPr>
          <w:rFonts w:ascii="Calibri" w:cs="Calibri" w:eastAsia="Calibri" w:hAnsi="Calibri"/>
          <w:sz w:val="22"/>
          <w:szCs w:val="22"/>
        </w:rPr>
        <w:t xml:space="preserve">Assess implications for procurement, technology selection, and partnership strategy</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Sovereignty (quantumsovereignty.org),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https://quantumacademy.com/courses/quantum-supply-chains-geopolitics/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Supply Chains and Geopolitics</dc:title>
  <dc:creator>Post-Quantum Institute</dc:creator>
  <dc:description>Training request letter for Quantum Supply Chains and Geopolitics, Quantum Academy.</dc:description>
  <cp:lastModifiedBy>Un-named</cp:lastModifiedBy>
  <cp:revision>1</cp:revision>
  <dcterms:created xsi:type="dcterms:W3CDTF">2026-08-21T22:35:20.302Z</dcterms:created>
  <dcterms:modified xsi:type="dcterms:W3CDTF">2026-08-21T22:35:20.302Z</dcterms:modified>
</cp:coreProperties>
</file>

<file path=docProps/custom.xml><?xml version="1.0" encoding="utf-8"?>
<Properties xmlns="http://schemas.openxmlformats.org/officeDocument/2006/custom-properties" xmlns:vt="http://schemas.openxmlformats.org/officeDocument/2006/docPropsVTypes"/>
</file>