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Investors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Investors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Investors,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technology investment is accelerating. Government programs, corporate ventures, and private capital are deploying billions into quantum computing, networking, and sensing. Publicly listed quantum computing companies have volatile valuations. Pre-IPO quantum startups are raising at aggressive multiples. For investors, the opportunity is real but the analysis is unusually difficult because the technology claims in this space require domain knowledge that most financial analysts lack.</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the technology maturity curve across quantum computing, networking, and sensing</w:t>
      </w:r>
    </w:p>
    <w:p>
      <w:pPr>
        <w:pStyle w:val="ListParagraph"/>
        <w:numPr>
          <w:ilvl w:val="0"/>
          <w:numId w:val="2"/>
        </w:numPr>
        <w:spacing w:after="100" w:line="276"/>
      </w:pPr>
      <w:r>
        <w:rPr>
          <w:rFonts w:ascii="Calibri" w:cs="Calibri" w:eastAsia="Calibri" w:hAnsi="Calibri"/>
          <w:sz w:val="22"/>
          <w:szCs w:val="22"/>
        </w:rPr>
        <w:t xml:space="preserve">Evaluate the competitive landscape: who is building what, where funding is concentrated, and what public/private market activity signals</w:t>
      </w:r>
    </w:p>
    <w:p>
      <w:pPr>
        <w:pStyle w:val="ListParagraph"/>
        <w:numPr>
          <w:ilvl w:val="0"/>
          <w:numId w:val="2"/>
        </w:numPr>
        <w:spacing w:after="100" w:line="276"/>
      </w:pPr>
      <w:r>
        <w:rPr>
          <w:rFonts w:ascii="Calibri" w:cs="Calibri" w:eastAsia="Calibri" w:hAnsi="Calibri"/>
          <w:sz w:val="22"/>
          <w:szCs w:val="22"/>
        </w:rPr>
        <w:t xml:space="preserve">Apply a structured framework for evaluating technical claims in pitch decks and earnings calls</w:t>
      </w:r>
    </w:p>
    <w:p>
      <w:pPr>
        <w:pStyle w:val="ListParagraph"/>
        <w:numPr>
          <w:ilvl w:val="0"/>
          <w:numId w:val="2"/>
        </w:numPr>
        <w:spacing w:after="100" w:line="276"/>
      </w:pPr>
      <w:r>
        <w:rPr>
          <w:rFonts w:ascii="Calibri" w:cs="Calibri" w:eastAsia="Calibri" w:hAnsi="Calibri"/>
          <w:sz w:val="22"/>
          <w:szCs w:val="22"/>
        </w:rPr>
        <w:t xml:space="preserve">Identify supply chain dependencies and single points of failure in quantum technology stacks</w:t>
      </w:r>
    </w:p>
    <w:p>
      <w:pPr>
        <w:pStyle w:val="ListParagraph"/>
        <w:numPr>
          <w:ilvl w:val="0"/>
          <w:numId w:val="2"/>
        </w:numPr>
        <w:spacing w:after="100" w:line="276"/>
      </w:pPr>
      <w:r>
        <w:rPr>
          <w:rFonts w:ascii="Calibri" w:cs="Calibri" w:eastAsia="Calibri" w:hAnsi="Calibri"/>
          <w:sz w:val="22"/>
          <w:szCs w:val="22"/>
        </w:rPr>
        <w:t xml:space="preserve">Understand the geopolitical risk dimension: export controls, investment restrictions, and quantum sovereignty</w:t>
      </w:r>
    </w:p>
    <w:p>
      <w:pPr>
        <w:pStyle w:val="ListParagraph"/>
        <w:numPr>
          <w:ilvl w:val="0"/>
          <w:numId w:val="2"/>
        </w:numPr>
        <w:spacing w:after="100" w:line="276"/>
      </w:pPr>
      <w:r>
        <w:rPr>
          <w:rFonts w:ascii="Calibri" w:cs="Calibri" w:eastAsia="Calibri" w:hAnsi="Calibri"/>
          <w:sz w:val="22"/>
          <w:szCs w:val="22"/>
        </w:rPr>
        <w:t xml:space="preserve">Evaluate the quantum workforce and talent pipeline as an investment factor</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Sovereignty (quantumsovereignty.org),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https://quantumacademy.com/courses/quantum-technology-investors/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Investors</dc:title>
  <dc:creator>Post-Quantum Institute</dc:creator>
  <dc:description>Training request letter for Quantum Technology for Investors, Quantum Academy.</dc:description>
  <cp:lastModifiedBy>Un-named</cp:lastModifiedBy>
  <cp:revision>1</cp:revision>
  <dcterms:created xsi:type="dcterms:W3CDTF">2026-08-21T22:35:20.321Z</dcterms:created>
  <dcterms:modified xsi:type="dcterms:W3CDTF">2026-08-21T22:35:20.321Z</dcterms:modified>
</cp:coreProperties>
</file>

<file path=docProps/custom.xml><?xml version="1.0" encoding="utf-8"?>
<Properties xmlns="http://schemas.openxmlformats.org/officeDocument/2006/custom-properties" xmlns:vt="http://schemas.openxmlformats.org/officeDocument/2006/docPropsVTypes"/>
</file>