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CQNA – Certified Quantum Network Architect exam</w:t>
      </w:r>
    </w:p>
    <w:p>
      <w:pPr>
        <w:spacing w:after="120" w:line="264"/>
      </w:pPr>
      <w:r>
        <w:rPr>
          <w:rFonts w:ascii="Calibri" w:cs="Calibri" w:eastAsia="Calibri" w:hAnsi="Calibri"/>
          <w:i/>
          <w:iCs/>
          <w:color w:val="5A6672"/>
          <w:sz w:val="20"/>
          <w:szCs w:val="20"/>
        </w:rPr>
        <w:t xml:space="preserve">Use this letter, or the parts of it that fit, to ask for approval of the CQNA exam fee. It covers the exam only. If your training is not approved yet, send the letter on the Certified Quantum Network Architect (CQNA)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CQNA – Certified Quantum Network Architect</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CQNA exam, which leads to the Certified Quantum Network Architect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CQNA exam tests whether a candidate can:</w:t>
      </w:r>
    </w:p>
    <w:p>
      <w:pPr>
        <w:pStyle w:val="ListParagraph"/>
        <w:numPr>
          <w:ilvl w:val="0"/>
          <w:numId w:val="2"/>
        </w:numPr>
        <w:spacing w:after="60" w:line="264"/>
      </w:pPr>
      <w:r>
        <w:rPr>
          <w:rFonts w:ascii="Calibri" w:cs="Calibri" w:eastAsia="Calibri" w:hAnsi="Calibri"/>
          <w:sz w:val="22"/>
          <w:szCs w:val="22"/>
        </w:rPr>
        <w:t xml:space="preserve">Apply quantum network design methodology to enterprise and government requirements</w:t>
      </w:r>
    </w:p>
    <w:p>
      <w:pPr>
        <w:pStyle w:val="ListParagraph"/>
        <w:numPr>
          <w:ilvl w:val="0"/>
          <w:numId w:val="2"/>
        </w:numPr>
        <w:spacing w:after="60" w:line="264"/>
      </w:pPr>
      <w:r>
        <w:rPr>
          <w:rFonts w:ascii="Calibri" w:cs="Calibri" w:eastAsia="Calibri" w:hAnsi="Calibri"/>
          <w:sz w:val="22"/>
          <w:szCs w:val="22"/>
        </w:rPr>
        <w:t xml:space="preserve">Evaluate and select QKD systems based on performance, security, and operational criteria</w:t>
      </w:r>
    </w:p>
    <w:p>
      <w:pPr>
        <w:pStyle w:val="ListParagraph"/>
        <w:numPr>
          <w:ilvl w:val="0"/>
          <w:numId w:val="2"/>
        </w:numPr>
        <w:spacing w:after="60" w:line="264"/>
      </w:pPr>
      <w:r>
        <w:rPr>
          <w:rFonts w:ascii="Calibri" w:cs="Calibri" w:eastAsia="Calibri" w:hAnsi="Calibri"/>
          <w:sz w:val="22"/>
          <w:szCs w:val="22"/>
        </w:rPr>
        <w:t xml:space="preserve">Design key management architectures that integrate QKD with existing key infrastructure</w:t>
      </w:r>
    </w:p>
    <w:p>
      <w:pPr>
        <w:pStyle w:val="ListParagraph"/>
        <w:numPr>
          <w:ilvl w:val="0"/>
          <w:numId w:val="2"/>
        </w:numPr>
        <w:spacing w:after="60" w:line="264"/>
      </w:pPr>
      <w:r>
        <w:rPr>
          <w:rFonts w:ascii="Calibri" w:cs="Calibri" w:eastAsia="Calibri" w:hAnsi="Calibri"/>
          <w:sz w:val="22"/>
          <w:szCs w:val="22"/>
        </w:rPr>
        <w:t xml:space="preserve">Plan trusted-node deployments with physical security and operational considerations</w:t>
      </w:r>
    </w:p>
    <w:p>
      <w:pPr>
        <w:pStyle w:val="ListParagraph"/>
        <w:numPr>
          <w:ilvl w:val="0"/>
          <w:numId w:val="2"/>
        </w:numPr>
        <w:spacing w:after="60" w:line="264"/>
      </w:pPr>
      <w:r>
        <w:rPr>
          <w:rFonts w:ascii="Calibri" w:cs="Calibri" w:eastAsia="Calibri" w:hAnsi="Calibri"/>
          <w:sz w:val="22"/>
          <w:szCs w:val="22"/>
        </w:rPr>
        <w:t xml:space="preserve">Design hybrid quantum-classical network architectures</w:t>
      </w:r>
    </w:p>
    <w:p>
      <w:pPr>
        <w:pStyle w:val="ListParagraph"/>
        <w:numPr>
          <w:ilvl w:val="0"/>
          <w:numId w:val="2"/>
        </w:numPr>
        <w:spacing w:after="60" w:line="264"/>
      </w:pPr>
      <w:r>
        <w:rPr>
          <w:rFonts w:ascii="Calibri" w:cs="Calibri" w:eastAsia="Calibri" w:hAnsi="Calibri"/>
          <w:sz w:val="22"/>
          <w:szCs w:val="22"/>
        </w:rPr>
        <w:t xml:space="preserve">Develop deployment plans, cost analyses, and business cases</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cqna.pro,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CQNA exam requires the Certified Quantum Network Architect (CQNA) Training course and an active CQNE certification.</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spacing w:after="120" w:line="264"/>
      </w:pPr>
      <w:r>
        <w:rPr>
          <w:rFonts w:ascii="Calibri" w:cs="Calibri" w:eastAsia="Calibri" w:hAnsi="Calibri"/>
          <w:sz w:val="22"/>
          <w:szCs w:val="22"/>
        </w:rPr>
        <w:t xml:space="preserve">[Choose one: I hold an active CQNE certification. / I will hold an active CQNE certification before I sit the exam.]</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120 questions, 110 of them scored and 10 unscored pilot items, in 180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30–50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CQNA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CQNA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US$699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US$699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https://quantumacademy.com/certifications/cqna/</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CQNA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CQNA – Certified Quantum Network Architect</dc:title>
  <dc:creator>Post-Quantum Institute</dc:creator>
  <dc:description>Certification exam request letter for the CQNA exam, Quantum Academy.</dc:description>
  <cp:lastModifiedBy>Un-named</cp:lastModifiedBy>
  <cp:revision>1</cp:revision>
  <dcterms:created xsi:type="dcterms:W3CDTF">2026-09-30T19:25:18.826Z</dcterms:created>
  <dcterms:modified xsi:type="dcterms:W3CDTF">2026-09-30T19:25:18.826Z</dcterms:modified>
</cp:coreProperties>
</file>

<file path=docProps/custom.xml><?xml version="1.0" encoding="utf-8"?>
<Properties xmlns="http://schemas.openxmlformats.org/officeDocument/2006/custom-properties" xmlns:vt="http://schemas.openxmlformats.org/officeDocument/2006/docPropsVTypes"/>
</file>