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CQTP – Certified Quantum Technology Professional exam</w:t>
      </w:r>
    </w:p>
    <w:p>
      <w:pPr>
        <w:spacing w:after="120" w:line="264"/>
      </w:pPr>
      <w:r>
        <w:rPr>
          <w:rFonts w:ascii="Calibri" w:cs="Calibri" w:eastAsia="Calibri" w:hAnsi="Calibri"/>
          <w:i/>
          <w:iCs/>
          <w:color w:val="5A6672"/>
          <w:sz w:val="20"/>
          <w:szCs w:val="20"/>
        </w:rPr>
        <w:t xml:space="preserve">Use this letter, or the parts of it that fit, to ask for approval of the CQTP exam fee. It covers the exam only. If your training is not approved yet, send the letter on the Certified Quantum Technology Professional (CQTP)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CQTP – Certified Quantum Technology Professional</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CQTP exam, which leads to the Certified Quantum Technology Professional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CQTP exam tests whether a candidate can:</w:t>
      </w:r>
    </w:p>
    <w:p>
      <w:pPr>
        <w:pStyle w:val="ListParagraph"/>
        <w:numPr>
          <w:ilvl w:val="0"/>
          <w:numId w:val="2"/>
        </w:numPr>
        <w:spacing w:after="60" w:line="264"/>
      </w:pPr>
      <w:r>
        <w:rPr>
          <w:rFonts w:ascii="Calibri" w:cs="Calibri" w:eastAsia="Calibri" w:hAnsi="Calibri"/>
          <w:sz w:val="22"/>
          <w:szCs w:val="22"/>
        </w:rPr>
        <w:t xml:space="preserve">Evaluate quantum computing hardware across modalities based on published capabilities</w:t>
      </w:r>
    </w:p>
    <w:p>
      <w:pPr>
        <w:pStyle w:val="ListParagraph"/>
        <w:numPr>
          <w:ilvl w:val="0"/>
          <w:numId w:val="2"/>
        </w:numPr>
        <w:spacing w:after="60" w:line="264"/>
      </w:pPr>
      <w:r>
        <w:rPr>
          <w:rFonts w:ascii="Calibri" w:cs="Calibri" w:eastAsia="Calibri" w:hAnsi="Calibri"/>
          <w:sz w:val="22"/>
          <w:szCs w:val="22"/>
        </w:rPr>
        <w:t xml:space="preserve">Assess quantum algorithm applicability for enterprise use cases</w:t>
      </w:r>
    </w:p>
    <w:p>
      <w:pPr>
        <w:pStyle w:val="ListParagraph"/>
        <w:numPr>
          <w:ilvl w:val="0"/>
          <w:numId w:val="2"/>
        </w:numPr>
        <w:spacing w:after="60" w:line="264"/>
      </w:pPr>
      <w:r>
        <w:rPr>
          <w:rFonts w:ascii="Calibri" w:cs="Calibri" w:eastAsia="Calibri" w:hAnsi="Calibri"/>
          <w:sz w:val="22"/>
          <w:szCs w:val="22"/>
        </w:rPr>
        <w:t xml:space="preserve">Compare and select quantum cloud platforms</w:t>
      </w:r>
    </w:p>
    <w:p>
      <w:pPr>
        <w:pStyle w:val="ListParagraph"/>
        <w:numPr>
          <w:ilvl w:val="0"/>
          <w:numId w:val="2"/>
        </w:numPr>
        <w:spacing w:after="60" w:line="264"/>
      </w:pPr>
      <w:r>
        <w:rPr>
          <w:rFonts w:ascii="Calibri" w:cs="Calibri" w:eastAsia="Calibri" w:hAnsi="Calibri"/>
          <w:sz w:val="22"/>
          <w:szCs w:val="22"/>
        </w:rPr>
        <w:t xml:space="preserve">Identify integration requirements for quantum-classical hybrid architectures</w:t>
      </w:r>
    </w:p>
    <w:p>
      <w:pPr>
        <w:pStyle w:val="ListParagraph"/>
        <w:numPr>
          <w:ilvl w:val="0"/>
          <w:numId w:val="2"/>
        </w:numPr>
        <w:spacing w:after="60" w:line="264"/>
      </w:pPr>
      <w:r>
        <w:rPr>
          <w:rFonts w:ascii="Calibri" w:cs="Calibri" w:eastAsia="Calibri" w:hAnsi="Calibri"/>
          <w:sz w:val="22"/>
          <w:szCs w:val="22"/>
        </w:rPr>
        <w:t xml:space="preserve">Conduct organizational quantum readiness assessments</w:t>
      </w:r>
    </w:p>
    <w:p>
      <w:pPr>
        <w:pStyle w:val="ListParagraph"/>
        <w:numPr>
          <w:ilvl w:val="0"/>
          <w:numId w:val="2"/>
        </w:numPr>
        <w:spacing w:after="60" w:line="264"/>
      </w:pPr>
      <w:r>
        <w:rPr>
          <w:rFonts w:ascii="Calibri" w:cs="Calibri" w:eastAsia="Calibri" w:hAnsi="Calibri"/>
          <w:sz w:val="22"/>
          <w:szCs w:val="22"/>
        </w:rPr>
        <w:t xml:space="preserve">Develop quantum computing strategies aligned with business objectives</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cqtp.pro,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CQTP exam requires the Certified Quantum Technology Professional (CQTP) Training course.</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100 questions, 90 of them scored and 10 unscored pilot items, in 150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20–40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CQTP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CQTP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US$599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US$599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https://quantumacademy.com/certifications/cqtp/</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CQTP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CQTP – Certified Quantum Technology Professional</dc:title>
  <dc:creator>Post-Quantum Institute</dc:creator>
  <dc:description>Certification exam request letter for the CQTP exam, Quantum Academy.</dc:description>
  <cp:lastModifiedBy>Un-named</cp:lastModifiedBy>
  <cp:revision>1</cp:revision>
  <dcterms:created xsi:type="dcterms:W3CDTF">2026-09-30T19:25:18.700Z</dcterms:created>
  <dcterms:modified xsi:type="dcterms:W3CDTF">2026-09-30T19:25:18.700Z</dcterms:modified>
</cp:coreProperties>
</file>

<file path=docProps/custom.xml><?xml version="1.0" encoding="utf-8"?>
<Properties xmlns="http://schemas.openxmlformats.org/officeDocument/2006/custom-properties" xmlns:vt="http://schemas.openxmlformats.org/officeDocument/2006/docPropsVTypes"/>
</file>