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PQCM – Post-Quantum Certified Manager exam</w:t>
      </w:r>
    </w:p>
    <w:p>
      <w:pPr>
        <w:spacing w:after="120" w:line="264"/>
      </w:pPr>
      <w:r>
        <w:rPr>
          <w:rFonts w:ascii="Calibri" w:cs="Calibri" w:eastAsia="Calibri" w:hAnsi="Calibri"/>
          <w:i/>
          <w:iCs/>
          <w:color w:val="5A6672"/>
          <w:sz w:val="20"/>
          <w:szCs w:val="20"/>
        </w:rPr>
        <w:t xml:space="preserve">Use this letter, or the parts of it that fit, to ask for approval of the PQCM exam fee. It covers the exam only. If your training is not approved yet, send the letter on the Post-Quantum Certified Manager (PQCM)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PQCM – Post-Quantum Certified Manager</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PQCM exam, which leads to the Post-Quantum Certified Manager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PQCM exam tests whether a candidate can:</w:t>
      </w:r>
    </w:p>
    <w:p>
      <w:pPr>
        <w:pStyle w:val="ListParagraph"/>
        <w:numPr>
          <w:ilvl w:val="0"/>
          <w:numId w:val="2"/>
        </w:numPr>
        <w:spacing w:after="60" w:line="264"/>
      </w:pPr>
      <w:r>
        <w:rPr>
          <w:rFonts w:ascii="Calibri" w:cs="Calibri" w:eastAsia="Calibri" w:hAnsi="Calibri"/>
          <w:sz w:val="22"/>
          <w:szCs w:val="22"/>
        </w:rPr>
        <w:t xml:space="preserve">Design and govern multi-phase PQC migration programs aligned with the PQC Migration Framework</w:t>
      </w:r>
    </w:p>
    <w:p>
      <w:pPr>
        <w:pStyle w:val="ListParagraph"/>
        <w:numPr>
          <w:ilvl w:val="0"/>
          <w:numId w:val="2"/>
        </w:numPr>
        <w:spacing w:after="60" w:line="264"/>
      </w:pPr>
      <w:r>
        <w:rPr>
          <w:rFonts w:ascii="Calibri" w:cs="Calibri" w:eastAsia="Calibri" w:hAnsi="Calibri"/>
          <w:sz w:val="22"/>
          <w:szCs w:val="22"/>
        </w:rPr>
        <w:t xml:space="preserve">Map regulatory requirements (CNSA 2.0, EU directives, DORA, NIS2, sector-specific mandates) to concrete migration activities</w:t>
      </w:r>
    </w:p>
    <w:p>
      <w:pPr>
        <w:pStyle w:val="ListParagraph"/>
        <w:numPr>
          <w:ilvl w:val="0"/>
          <w:numId w:val="2"/>
        </w:numPr>
        <w:spacing w:after="60" w:line="264"/>
      </w:pPr>
      <w:r>
        <w:rPr>
          <w:rFonts w:ascii="Calibri" w:cs="Calibri" w:eastAsia="Calibri" w:hAnsi="Calibri"/>
          <w:sz w:val="22"/>
          <w:szCs w:val="22"/>
        </w:rPr>
        <w:t xml:space="preserve">Conduct organizational readiness assessments covering people, processes, technology, and vendor dependencies</w:t>
      </w:r>
    </w:p>
    <w:p>
      <w:pPr>
        <w:pStyle w:val="ListParagraph"/>
        <w:numPr>
          <w:ilvl w:val="0"/>
          <w:numId w:val="2"/>
        </w:numPr>
        <w:spacing w:after="60" w:line="264"/>
      </w:pPr>
      <w:r>
        <w:rPr>
          <w:rFonts w:ascii="Calibri" w:cs="Calibri" w:eastAsia="Calibri" w:hAnsi="Calibri"/>
          <w:sz w:val="22"/>
          <w:szCs w:val="22"/>
        </w:rPr>
        <w:t xml:space="preserve">Lead cross-functional migration teams spanning security, engineering, operations, procurement, legal, and executive leadership</w:t>
      </w:r>
    </w:p>
    <w:p>
      <w:pPr>
        <w:pStyle w:val="ListParagraph"/>
        <w:numPr>
          <w:ilvl w:val="0"/>
          <w:numId w:val="2"/>
        </w:numPr>
        <w:spacing w:after="60" w:line="264"/>
      </w:pPr>
      <w:r>
        <w:rPr>
          <w:rFonts w:ascii="Calibri" w:cs="Calibri" w:eastAsia="Calibri" w:hAnsi="Calibri"/>
          <w:sz w:val="22"/>
          <w:szCs w:val="22"/>
        </w:rPr>
        <w:t xml:space="preserve">Communicate quantum risk to executive and board-level audiences using evidence-based framing</w:t>
      </w:r>
    </w:p>
    <w:p>
      <w:pPr>
        <w:pStyle w:val="ListParagraph"/>
        <w:numPr>
          <w:ilvl w:val="0"/>
          <w:numId w:val="2"/>
        </w:numPr>
        <w:spacing w:after="60" w:line="264"/>
      </w:pPr>
      <w:r>
        <w:rPr>
          <w:rFonts w:ascii="Calibri" w:cs="Calibri" w:eastAsia="Calibri" w:hAnsi="Calibri"/>
          <w:sz w:val="22"/>
          <w:szCs w:val="22"/>
        </w:rPr>
        <w:t xml:space="preserve">Manage vendor PQC readiness and supply chain cryptographic dependencies</w:t>
      </w:r>
    </w:p>
    <w:p>
      <w:pPr>
        <w:pStyle w:val="ListParagraph"/>
        <w:numPr>
          <w:ilvl w:val="0"/>
          <w:numId w:val="2"/>
        </w:numPr>
        <w:spacing w:after="60" w:line="264"/>
      </w:pPr>
      <w:r>
        <w:rPr>
          <w:rFonts w:ascii="Calibri" w:cs="Calibri" w:eastAsia="Calibri" w:hAnsi="Calibri"/>
          <w:sz w:val="22"/>
          <w:szCs w:val="22"/>
        </w:rPr>
        <w:t xml:space="preserve">Establish migration tracking, metrics, KPIs, and compliance reporting</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pqcm.pro,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PQCM exam requires the Post-Quantum Certified Manager (PQCM) Training course and an active PQCS certification.</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spacing w:after="120" w:line="264"/>
      </w:pPr>
      <w:r>
        <w:rPr>
          <w:rFonts w:ascii="Calibri" w:cs="Calibri" w:eastAsia="Calibri" w:hAnsi="Calibri"/>
          <w:sz w:val="22"/>
          <w:szCs w:val="22"/>
        </w:rPr>
        <w:t xml:space="preserve">[Choose one: I hold an active PQCS certification. / I will hold an active PQCS certification before I sit the exam.]</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120 questions, 110 of them scored and 10 unscored pilot items, in 180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30–50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PQCM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PQCM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US$699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US$699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https://quantumacademy.com/certifications/pqcm/</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PQCM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PQCM – Post-Quantum Certified Manager</dc:title>
  <dc:creator>Post-Quantum Institute</dc:creator>
  <dc:description>Certification exam request letter for the PQCM exam, Quantum Academy.</dc:description>
  <cp:lastModifiedBy>Un-named</cp:lastModifiedBy>
  <cp:revision>1</cp:revision>
  <dcterms:created xsi:type="dcterms:W3CDTF">2026-09-30T19:25:18.349Z</dcterms:created>
  <dcterms:modified xsi:type="dcterms:W3CDTF">2026-09-30T19:25:18.350Z</dcterms:modified>
</cp:coreProperties>
</file>

<file path=docProps/custom.xml><?xml version="1.0" encoding="utf-8"?>
<Properties xmlns="http://schemas.openxmlformats.org/officeDocument/2006/custom-properties" xmlns:vt="http://schemas.openxmlformats.org/officeDocument/2006/docPropsVTypes"/>
</file>