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PQCS – Post-Quantum Certified Specialist exam</w:t>
      </w:r>
    </w:p>
    <w:p>
      <w:pPr>
        <w:spacing w:after="120" w:line="264"/>
      </w:pPr>
      <w:r>
        <w:rPr>
          <w:rFonts w:ascii="Calibri" w:cs="Calibri" w:eastAsia="Calibri" w:hAnsi="Calibri"/>
          <w:i/>
          <w:iCs/>
          <w:color w:val="5A6672"/>
          <w:sz w:val="20"/>
          <w:szCs w:val="20"/>
        </w:rPr>
        <w:t xml:space="preserve">Use this letter, or the parts of it that fit, to ask for approval of the PQCS exam fee. It covers the exam only. If your training is not approved yet, send the letter on the Post-Quantum Certified Specialist (PQCS)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PQCS – Post-Quantum Certified Specialist</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PQCS exam, which leads to the Post-Quantum Certified Specialist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PQCS exam tests whether a candidate can:</w:t>
      </w:r>
    </w:p>
    <w:p>
      <w:pPr>
        <w:pStyle w:val="ListParagraph"/>
        <w:numPr>
          <w:ilvl w:val="0"/>
          <w:numId w:val="2"/>
        </w:numPr>
        <w:spacing w:after="60" w:line="264"/>
      </w:pPr>
      <w:r>
        <w:rPr>
          <w:rFonts w:ascii="Calibri" w:cs="Calibri" w:eastAsia="Calibri" w:hAnsi="Calibri"/>
          <w:sz w:val="22"/>
          <w:szCs w:val="22"/>
        </w:rPr>
        <w:t xml:space="preserve">Conduct a cryptographic inventory and produce a Cryptographic Bill of Materials (CBOM) using structured discovery methodology across code, certificates, protocols, and third-party dependencies</w:t>
      </w:r>
    </w:p>
    <w:p>
      <w:pPr>
        <w:pStyle w:val="ListParagraph"/>
        <w:numPr>
          <w:ilvl w:val="0"/>
          <w:numId w:val="2"/>
        </w:numPr>
        <w:spacing w:after="60" w:line="264"/>
      </w:pPr>
      <w:r>
        <w:rPr>
          <w:rFonts w:ascii="Calibri" w:cs="Calibri" w:eastAsia="Calibri" w:hAnsi="Calibri"/>
          <w:sz w:val="22"/>
          <w:szCs w:val="22"/>
        </w:rPr>
        <w:t xml:space="preserve">Evaluate NIST standardized PQC algorithms, ML-KEM (formerly CRYSTALS-Kyber), ML-DSA (formerly CRYSTALS-Dilithium), SLH-DSA (formerly SPHINCS+), and the draft-stage FN-DSA (formerly FALCON), for specific deployment scenarios based on performance, key sizes, and security assumptions</w:t>
      </w:r>
    </w:p>
    <w:p>
      <w:pPr>
        <w:pStyle w:val="ListParagraph"/>
        <w:numPr>
          <w:ilvl w:val="0"/>
          <w:numId w:val="2"/>
        </w:numPr>
        <w:spacing w:after="60" w:line="264"/>
      </w:pPr>
      <w:r>
        <w:rPr>
          <w:rFonts w:ascii="Calibri" w:cs="Calibri" w:eastAsia="Calibri" w:hAnsi="Calibri"/>
          <w:sz w:val="22"/>
          <w:szCs w:val="22"/>
        </w:rPr>
        <w:t xml:space="preserve">Assess hybrid implementation approaches for key exchange and digital signatures, including the engineering tradeoffs between concatenation, combiner, and nested approaches</w:t>
      </w:r>
    </w:p>
    <w:p>
      <w:pPr>
        <w:pStyle w:val="ListParagraph"/>
        <w:numPr>
          <w:ilvl w:val="0"/>
          <w:numId w:val="2"/>
        </w:numPr>
        <w:spacing w:after="60" w:line="264"/>
      </w:pPr>
      <w:r>
        <w:rPr>
          <w:rFonts w:ascii="Calibri" w:cs="Calibri" w:eastAsia="Calibri" w:hAnsi="Calibri"/>
          <w:sz w:val="22"/>
          <w:szCs w:val="22"/>
        </w:rPr>
        <w:t xml:space="preserve">Analyze PQC migration requirements across common protocols (TLS 1.3, SSH, IPsec, S/MIME, code signing, PKI)</w:t>
      </w:r>
    </w:p>
    <w:p>
      <w:pPr>
        <w:pStyle w:val="ListParagraph"/>
        <w:numPr>
          <w:ilvl w:val="0"/>
          <w:numId w:val="2"/>
        </w:numPr>
        <w:spacing w:after="60" w:line="264"/>
      </w:pPr>
      <w:r>
        <w:rPr>
          <w:rFonts w:ascii="Calibri" w:cs="Calibri" w:eastAsia="Calibri" w:hAnsi="Calibri"/>
          <w:sz w:val="22"/>
          <w:szCs w:val="22"/>
        </w:rPr>
        <w:t xml:space="preserve">Apply risk assessment frameworks to prioritize cryptographic assets for migration based on quantum exposure, business criticality, and migration complexity</w:t>
      </w:r>
    </w:p>
    <w:p>
      <w:pPr>
        <w:pStyle w:val="ListParagraph"/>
        <w:numPr>
          <w:ilvl w:val="0"/>
          <w:numId w:val="2"/>
        </w:numPr>
        <w:spacing w:after="60" w:line="264"/>
      </w:pPr>
      <w:r>
        <w:rPr>
          <w:rFonts w:ascii="Calibri" w:cs="Calibri" w:eastAsia="Calibri" w:hAnsi="Calibri"/>
          <w:sz w:val="22"/>
          <w:szCs w:val="22"/>
        </w:rPr>
        <w:t xml:space="preserve">Develop a structured PQC migration roadmap using the PQC Migration Framework methodology</w:t>
      </w:r>
    </w:p>
    <w:p>
      <w:pPr>
        <w:pStyle w:val="ListParagraph"/>
        <w:numPr>
          <w:ilvl w:val="0"/>
          <w:numId w:val="2"/>
        </w:numPr>
        <w:spacing w:after="60" w:line="264"/>
      </w:pPr>
      <w:r>
        <w:rPr>
          <w:rFonts w:ascii="Calibri" w:cs="Calibri" w:eastAsia="Calibri" w:hAnsi="Calibri"/>
          <w:sz w:val="22"/>
          <w:szCs w:val="22"/>
        </w:rPr>
        <w:t xml:space="preserve">Apply cryptographic agility principles to system design and architecture planning</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pqcs.pro,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PQCS exam requires two courses: Post-Quantum Foundation and Post-Quantum Certified Specialist (PQCS) Training.</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100 questions, 90 of them scored and 10 unscored pilot items, in 150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20–40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PQCS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PQCS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US$599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US$599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https://quantumacademy.com/certifications/pqcs/</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PQCS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PQCS – Post-Quantum Certified Specialist</dc:title>
  <dc:creator>Post-Quantum Institute</dc:creator>
  <dc:description>Certification exam request letter for the PQCS exam, Quantum Academy.</dc:description>
  <cp:lastModifiedBy>Un-named</cp:lastModifiedBy>
  <cp:revision>1</cp:revision>
  <dcterms:created xsi:type="dcterms:W3CDTF">2026-09-30T19:25:18.099Z</dcterms:created>
  <dcterms:modified xsi:type="dcterms:W3CDTF">2026-09-30T19:25:18.106Z</dcterms:modified>
</cp:coreProperties>
</file>

<file path=docProps/custom.xml><?xml version="1.0" encoding="utf-8"?>
<Properties xmlns="http://schemas.openxmlformats.org/officeDocument/2006/custom-properties" xmlns:vt="http://schemas.openxmlformats.org/officeDocument/2006/docPropsVTypes"/>
</file>