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Pharma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Pharma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Pharma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Pharmaceutical and biotech companies modify validated systems only through change control, with documented testing and evidence an inspector can review. Replacing an algorithm, a cryptographic library, or a certificate authority in a GxP system counts as one of those changes. Signed records also have to stay trustworthy for their whole retention period. An EU clinical trial master file has to be retained for at least 25 years after the trial ends. Regulators and industry bodies set the cryptography for submission gateways and trading-partner credentials, so part of your plan depends on their timelines. This is a working day. You bring your own GxP system inventory, validation procedures, and supplier list, and you leave with a migration plan ready for quality review.</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Build a cryptographic inventory from our list of GxP systems and their validation records, and mark what we control against what a vendor, regulator, or trading partner controls</w:t>
      </w:r>
    </w:p>
    <w:p>
      <w:pPr>
        <w:pStyle w:val="ListParagraph"/>
        <w:numPr>
          <w:ilvl w:val="0"/>
          <w:numId w:val="2"/>
        </w:numPr>
        <w:spacing w:after="100" w:line="276"/>
      </w:pPr>
      <w:r>
        <w:rPr>
          <w:rFonts w:ascii="Calibri" w:cs="Calibri" w:eastAsia="Calibri" w:hAnsi="Calibri"/>
          <w:sz w:val="22"/>
          <w:szCs w:val="22"/>
        </w:rPr>
        <w:t xml:space="preserve">Classify a cryptographic change by GxP risk, choose the testing and evidence our change control procedure requires, and explain the choice to an inspector</w:t>
      </w:r>
    </w:p>
    <w:p>
      <w:pPr>
        <w:pStyle w:val="ListParagraph"/>
        <w:numPr>
          <w:ilvl w:val="0"/>
          <w:numId w:val="2"/>
        </w:numPr>
        <w:spacing w:after="100" w:line="276"/>
      </w:pPr>
      <w:r>
        <w:rPr>
          <w:rFonts w:ascii="Calibri" w:cs="Calibri" w:eastAsia="Calibri" w:hAnsi="Calibri"/>
          <w:sz w:val="22"/>
          <w:szCs w:val="22"/>
        </w:rPr>
        <w:t xml:space="preserve">Design validated systems so we can change an algorithm once, in qualified infrastructure, and regression-test the applications that depend on it</w:t>
      </w:r>
    </w:p>
    <w:p>
      <w:pPr>
        <w:pStyle w:val="ListParagraph"/>
        <w:numPr>
          <w:ilvl w:val="0"/>
          <w:numId w:val="2"/>
        </w:numPr>
        <w:spacing w:after="100" w:line="276"/>
      </w:pPr>
      <w:r>
        <w:rPr>
          <w:rFonts w:ascii="Calibri" w:cs="Calibri" w:eastAsia="Calibri" w:hAnsi="Calibri"/>
          <w:sz w:val="22"/>
          <w:szCs w:val="22"/>
        </w:rPr>
        <w:t xml:space="preserve">Plan how signed records stay verifiable through retention periods of 25 years or more, without breaking audit trails or ALCOA+ expectations</w:t>
      </w:r>
    </w:p>
    <w:p>
      <w:pPr>
        <w:pStyle w:val="ListParagraph"/>
        <w:numPr>
          <w:ilvl w:val="0"/>
          <w:numId w:val="2"/>
        </w:numPr>
        <w:spacing w:after="100" w:line="276"/>
      </w:pPr>
      <w:r>
        <w:rPr>
          <w:rFonts w:ascii="Calibri" w:cs="Calibri" w:eastAsia="Calibri" w:hAnsi="Calibri"/>
          <w:sz w:val="22"/>
          <w:szCs w:val="22"/>
        </w:rPr>
        <w:t xml:space="preserve">Map the cryptography we depend on and cannot change ourselves, from FDA and EMA submission gateways to DSCSA trading-partner credentials and serialization data standards</w:t>
      </w:r>
    </w:p>
    <w:p>
      <w:pPr>
        <w:pStyle w:val="ListParagraph"/>
        <w:numPr>
          <w:ilvl w:val="0"/>
          <w:numId w:val="2"/>
        </w:numPr>
        <w:spacing w:after="100" w:line="276"/>
      </w:pPr>
      <w:r>
        <w:rPr>
          <w:rFonts w:ascii="Calibri" w:cs="Calibri" w:eastAsia="Calibri" w:hAnsi="Calibri"/>
          <w:sz w:val="22"/>
          <w:szCs w:val="22"/>
        </w:rPr>
        <w:t xml:space="preserve">Write post-quantum and crypto-agility clauses into supplier contracts and quality agreements with contract development and manufacturing organizations (CDMOs), and add matching entries to user requirements specifications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The EU's coordinated post-quantum roadmap sets the end of 2030 for migrating high-risk use cases, and NIS2, which covers pharmaceutical manufacturing and research, already requires cryptography policies</w:t>
      </w:r>
    </w:p>
    <w:p>
      <w:pPr>
        <w:pStyle w:val="ListParagraph"/>
        <w:numPr>
          <w:ilvl w:val="0"/>
          <w:numId w:val="2"/>
        </w:numPr>
        <w:spacing w:after="100" w:line="276"/>
      </w:pPr>
      <w:r>
        <w:rPr>
          <w:rFonts w:ascii="Calibri" w:cs="Calibri" w:eastAsia="Calibri" w:hAnsi="Calibri"/>
          <w:sz w:val="22"/>
          <w:szCs w:val="22"/>
        </w:rPr>
        <w:t xml:space="preserve">Records signed today have to stay verifiable for their full retention period, which is at least 25 years for an EU clinical trial master file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During the working session I start a cryptographic inventory from our list of GxP systems and build a classification matrix for cryptographic changes. I also draft a signature longevity plan for one regulated archive, a register of dependencies on regulators, trading partners, and suppliers, and clauses for contracts and quality agreements. All of it is built from our own systems and documents, and it comes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https://quantumacademy.com/courses/quantum-safe-pharma-intensive/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Pharma Intensive</dc:title>
  <dc:creator>Post-Quantum Institute</dc:creator>
  <dc:description>Training request letter for Quantum-Safe Pharma Intensive, Quantum Academy.</dc:description>
  <cp:lastModifiedBy>Un-named</cp:lastModifiedBy>
  <cp:revision>1</cp:revision>
  <dcterms:created xsi:type="dcterms:W3CDTF">2026-08-21T22:35:20.113Z</dcterms:created>
  <dcterms:modified xsi:type="dcterms:W3CDTF">2026-09-30T09:00:00Z</dcterms:modified>
</cp:coreProperties>
</file>

<file path=docProps/custom.xml><?xml version="1.0" encoding="utf-8"?>
<Properties xmlns="http://schemas.openxmlformats.org/officeDocument/2006/custom-properties" xmlns:vt="http://schemas.openxmlformats.org/officeDocument/2006/docPropsVTypes"/>
</file>