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Australia</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Australia</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Australia,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Australia's post-quantum expectations for APRA-regulated entities, critical infrastructure and government. It covers ASD's 2026, 2028 and 2030 milestones, APRA's supervisory expectations, the SOCI Act and the evidence that shows we are on track.</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Australia's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Australia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ASD's 2026, 2028 and 2030 milestones and what each one requires of our organization</w:t>
      </w:r>
    </w:p>
    <w:p>
      <w:pPr>
        <w:pStyle w:val="ListParagraph"/>
        <w:numPr>
          <w:ilvl w:val="0"/>
          <w:numId w:val="2"/>
        </w:numPr>
        <w:spacing w:after="100" w:line="276"/>
      </w:pPr>
      <w:r>
        <w:rPr>
          <w:rFonts w:ascii="Calibri" w:cs="Calibri" w:eastAsia="Calibri" w:hAnsi="Calibri"/>
          <w:sz w:val="22"/>
          <w:szCs w:val="22"/>
        </w:rPr>
        <w:t xml:space="preserve">Map where our organization relies on cryptography, as APRA expects</w:t>
      </w:r>
    </w:p>
    <w:p>
      <w:pPr>
        <w:pStyle w:val="ListParagraph"/>
        <w:numPr>
          <w:ilvl w:val="0"/>
          <w:numId w:val="2"/>
        </w:numPr>
        <w:spacing w:after="100" w:line="276"/>
      </w:pPr>
      <w:r>
        <w:rPr>
          <w:rFonts w:ascii="Calibri" w:cs="Calibri" w:eastAsia="Calibri" w:hAnsi="Calibri"/>
          <w:sz w:val="22"/>
          <w:szCs w:val="22"/>
        </w:rPr>
        <w:t xml:space="preserve">Build a transition plan by the end of 2026 that puts our most critical systems first</w:t>
      </w:r>
    </w:p>
    <w:p>
      <w:pPr>
        <w:pStyle w:val="ListParagraph"/>
        <w:numPr>
          <w:ilvl w:val="0"/>
          <w:numId w:val="2"/>
        </w:numPr>
        <w:spacing w:after="100" w:line="276"/>
      </w:pPr>
      <w:r>
        <w:rPr>
          <w:rFonts w:ascii="Calibri" w:cs="Calibri" w:eastAsia="Calibri" w:hAnsi="Calibri"/>
          <w:sz w:val="22"/>
          <w:szCs w:val="22"/>
        </w:rPr>
        <w:t xml:space="preserve">Prepare board papers that show the board understands the risk and is advancing a plan</w:t>
      </w:r>
    </w:p>
    <w:p>
      <w:pPr>
        <w:pStyle w:val="ListParagraph"/>
        <w:numPr>
          <w:ilvl w:val="0"/>
          <w:numId w:val="2"/>
        </w:numPr>
        <w:spacing w:after="100" w:line="276"/>
      </w:pPr>
      <w:r>
        <w:rPr>
          <w:rFonts w:ascii="Calibri" w:cs="Calibri" w:eastAsia="Calibri" w:hAnsi="Calibri"/>
          <w:sz w:val="22"/>
          <w:szCs w:val="22"/>
        </w:rPr>
        <w:t xml:space="preserve">Apply CPS 234, CPS 230 and the SOCI risk management rules to quantum risk</w:t>
      </w:r>
    </w:p>
    <w:p>
      <w:pPr>
        <w:pStyle w:val="ListParagraph"/>
        <w:numPr>
          <w:ilvl w:val="0"/>
          <w:numId w:val="2"/>
        </w:numPr>
        <w:spacing w:after="100" w:line="276"/>
      </w:pPr>
      <w:r>
        <w:rPr>
          <w:rFonts w:ascii="Calibri" w:cs="Calibri" w:eastAsia="Calibri" w:hAnsi="Calibri"/>
          <w:sz w:val="22"/>
          <w:szCs w:val="22"/>
        </w:rPr>
        <w:t xml:space="preserve">Report progress to our board and supervisors against ASD's timeline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Australian Signals Directorate (ASD) recommends that organizations stop using traditional asymmetric cryptography by the end of 2030, five years earlier than the 2035 date most jurisdictions set for full migration</w:t>
      </w:r>
    </w:p>
    <w:p>
      <w:pPr>
        <w:pStyle w:val="ListParagraph"/>
        <w:numPr>
          <w:ilvl w:val="0"/>
          <w:numId w:val="2"/>
        </w:numPr>
        <w:spacing w:after="100" w:line="276"/>
      </w:pPr>
      <w:r>
        <w:rPr>
          <w:rFonts w:ascii="Calibri" w:cs="Calibri" w:eastAsia="Calibri" w:hAnsi="Calibri"/>
          <w:sz w:val="22"/>
          <w:szCs w:val="22"/>
        </w:rPr>
        <w:t xml:space="preserve">ASD asks organizations to have a transition plan by the end of 2026 and to begin the transition by the end of 2028, starting with their most critical systems</w:t>
      </w:r>
    </w:p>
    <w:p>
      <w:pPr>
        <w:pStyle w:val="ListParagraph"/>
        <w:numPr>
          <w:ilvl w:val="0"/>
          <w:numId w:val="2"/>
        </w:numPr>
        <w:spacing w:after="100" w:line="276"/>
      </w:pPr>
      <w:r>
        <w:rPr>
          <w:rFonts w:ascii="Calibri" w:cs="Calibri" w:eastAsia="Calibri" w:hAnsi="Calibri"/>
          <w:sz w:val="22"/>
          <w:szCs w:val="22"/>
        </w:rPr>
        <w:t xml:space="preserve">In a June 2026 speech, Therese McCarthy Hockey, a Member of the Australian Prudential Regulation Authority (APRA), told regulated entities to start mapping where they rely on cryptography</w:t>
      </w:r>
    </w:p>
    <w:p>
      <w:pPr>
        <w:pStyle w:val="ListParagraph"/>
        <w:numPr>
          <w:ilvl w:val="0"/>
          <w:numId w:val="2"/>
        </w:numPr>
        <w:spacing w:after="100" w:line="276"/>
      </w:pPr>
      <w:r>
        <w:rPr>
          <w:rFonts w:ascii="Calibri" w:cs="Calibri" w:eastAsia="Calibri" w:hAnsi="Calibri"/>
          <w:sz w:val="22"/>
          <w:szCs w:val="22"/>
        </w:rPr>
        <w:t xml:space="preserve">She said APRA will step up its supervisory engagement on quantum risk over the following year</w:t>
      </w:r>
    </w:p>
    <w:p>
      <w:pPr>
        <w:pStyle w:val="ListParagraph"/>
        <w:numPr>
          <w:ilvl w:val="0"/>
          <w:numId w:val="2"/>
        </w:numPr>
        <w:spacing w:after="100" w:line="276"/>
      </w:pPr>
      <w:r>
        <w:rPr>
          <w:rFonts w:ascii="Calibri" w:cs="Calibri" w:eastAsia="Calibri" w:hAnsi="Calibri"/>
          <w:sz w:val="22"/>
          <w:szCs w:val="22"/>
        </w:rPr>
        <w:t xml:space="preserve">APRA wants evidence that boards understand the risk and are advancing plans to meet ASD's timeline</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Australian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https://quantumacademy.com/courses/pqc-compliance-australia/</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Australia</dc:title>
  <dc:creator>Post-Quantum Institute</dc:creator>
  <dc:description>Training request letter for PQC Compliance: Australia, Quantum Academy.</dc:description>
  <cp:lastModifiedBy>Un-named</cp:lastModifiedBy>
  <cp:revision>1</cp:revision>
  <dcterms:created xsi:type="dcterms:W3CDTF">2026-10-18T20:01:27.429Z</dcterms:created>
  <dcterms:modified xsi:type="dcterms:W3CDTF">2026-10-18T20:01:27.429Z</dcterms:modified>
</cp:coreProperties>
</file>

<file path=docProps/custom.xml><?xml version="1.0" encoding="utf-8"?>
<Properties xmlns="http://schemas.openxmlformats.org/officeDocument/2006/custom-properties" xmlns:vt="http://schemas.openxmlformats.org/officeDocument/2006/docPropsVTypes"/>
</file>