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Compliance: European Union</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Compliance: European Union</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Compliance: European Union,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This is a two-hour foundational course on the EU's post-quantum requirements for member states, regulated sectors and product makers. It covers the coordinated roadmap's 2026, 2030 and 2035 milestones, DORA, NIS2, the Cyber Resilience Act and national rules in Germany and France.</w:t>
      </w:r>
    </w:p>
    <w:p>
      <w:pPr>
        <w:spacing w:after="100" w:line="276"/>
      </w:pPr>
      <w:r>
        <w:rPr>
          <w:rFonts w:ascii="Calibri" w:cs="Calibri" w:eastAsia="Calibri" w:hAnsi="Calibri"/>
          <w:sz w:val="22"/>
          <w:szCs w:val="22"/>
        </w:rPr>
        <w:t xml:space="preserve">The course has three modules:</w:t>
      </w:r>
    </w:p>
    <w:p>
      <w:pPr>
        <w:pStyle w:val="ListParagraph"/>
        <w:numPr>
          <w:ilvl w:val="0"/>
          <w:numId w:val="2"/>
        </w:numPr>
        <w:spacing w:after="100" w:line="276"/>
      </w:pPr>
      <w:r>
        <w:rPr>
          <w:rFonts w:ascii="Calibri" w:cs="Calibri" w:eastAsia="Calibri" w:hAnsi="Calibri"/>
          <w:sz w:val="22"/>
          <w:szCs w:val="22"/>
        </w:rPr>
        <w:t xml:space="preserve">What Regulators Everywhere Ask For (30 minutes)</w:t>
      </w:r>
    </w:p>
    <w:p>
      <w:pPr>
        <w:pStyle w:val="ListParagraph"/>
        <w:numPr>
          <w:ilvl w:val="0"/>
          <w:numId w:val="2"/>
        </w:numPr>
        <w:spacing w:after="100" w:line="276"/>
      </w:pPr>
      <w:r>
        <w:rPr>
          <w:rFonts w:ascii="Calibri" w:cs="Calibri" w:eastAsia="Calibri" w:hAnsi="Calibri"/>
          <w:sz w:val="22"/>
          <w:szCs w:val="22"/>
        </w:rPr>
        <w:t xml:space="preserve">EU Requirements in Detail (60 minutes)</w:t>
      </w:r>
    </w:p>
    <w:p>
      <w:pPr>
        <w:pStyle w:val="ListParagraph"/>
        <w:numPr>
          <w:ilvl w:val="0"/>
          <w:numId w:val="2"/>
        </w:numPr>
        <w:spacing w:after="100" w:line="276"/>
      </w:pPr>
      <w:r>
        <w:rPr>
          <w:rFonts w:ascii="Calibri" w:cs="Calibri" w:eastAsia="Calibri" w:hAnsi="Calibri"/>
          <w:sz w:val="22"/>
          <w:szCs w:val="22"/>
        </w:rPr>
        <w:t xml:space="preserve">Demonstrating Compliance in the EU (30 minutes)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what the coordinated roadmap, DORA, NIS2 and the Cyber Resilience Act require of our organization</w:t>
      </w:r>
    </w:p>
    <w:p>
      <w:pPr>
        <w:pStyle w:val="ListParagraph"/>
        <w:numPr>
          <w:ilvl w:val="0"/>
          <w:numId w:val="2"/>
        </w:numPr>
        <w:spacing w:after="100" w:line="276"/>
      </w:pPr>
      <w:r>
        <w:rPr>
          <w:rFonts w:ascii="Calibri" w:cs="Calibri" w:eastAsia="Calibri" w:hAnsi="Calibri"/>
          <w:sz w:val="22"/>
          <w:szCs w:val="22"/>
        </w:rPr>
        <w:t xml:space="preserve">Classify our use cases as high, medium or low risk in the roadmap's terms</w:t>
      </w:r>
    </w:p>
    <w:p>
      <w:pPr>
        <w:pStyle w:val="ListParagraph"/>
        <w:numPr>
          <w:ilvl w:val="0"/>
          <w:numId w:val="2"/>
        </w:numPr>
        <w:spacing w:after="100" w:line="276"/>
      </w:pPr>
      <w:r>
        <w:rPr>
          <w:rFonts w:ascii="Calibri" w:cs="Calibri" w:eastAsia="Calibri" w:hAnsi="Calibri"/>
          <w:sz w:val="22"/>
          <w:szCs w:val="22"/>
        </w:rPr>
        <w:t xml:space="preserve">Apply the national dates set by Germany, France and other member states where we operate</w:t>
      </w:r>
    </w:p>
    <w:p>
      <w:pPr>
        <w:pStyle w:val="ListParagraph"/>
        <w:numPr>
          <w:ilvl w:val="0"/>
          <w:numId w:val="2"/>
        </w:numPr>
        <w:spacing w:after="100" w:line="276"/>
      </w:pPr>
      <w:r>
        <w:rPr>
          <w:rFonts w:ascii="Calibri" w:cs="Calibri" w:eastAsia="Calibri" w:hAnsi="Calibri"/>
          <w:sz w:val="22"/>
          <w:szCs w:val="22"/>
        </w:rPr>
        <w:t xml:space="preserve">Write or update the encryption policy DORA requires</w:t>
      </w:r>
    </w:p>
    <w:p>
      <w:pPr>
        <w:pStyle w:val="ListParagraph"/>
        <w:numPr>
          <w:ilvl w:val="0"/>
          <w:numId w:val="2"/>
        </w:numPr>
        <w:spacing w:after="100" w:line="276"/>
      </w:pPr>
      <w:r>
        <w:rPr>
          <w:rFonts w:ascii="Calibri" w:cs="Calibri" w:eastAsia="Calibri" w:hAnsi="Calibri"/>
          <w:sz w:val="22"/>
          <w:szCs w:val="22"/>
        </w:rPr>
        <w:t xml:space="preserve">Assemble the evidence supervisors and auditors will ask for</w:t>
      </w:r>
    </w:p>
    <w:p>
      <w:pPr>
        <w:pStyle w:val="ListParagraph"/>
        <w:numPr>
          <w:ilvl w:val="0"/>
          <w:numId w:val="2"/>
        </w:numPr>
        <w:spacing w:after="100" w:line="276"/>
      </w:pPr>
      <w:r>
        <w:rPr>
          <w:rFonts w:ascii="Calibri" w:cs="Calibri" w:eastAsia="Calibri" w:hAnsi="Calibri"/>
          <w:sz w:val="22"/>
          <w:szCs w:val="22"/>
        </w:rPr>
        <w:t xml:space="preserve">Brief our management body on obligations and progress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EU member states agreed a coordinated post-quantum roadmap in June 2025</w:t>
      </w:r>
    </w:p>
    <w:p>
      <w:pPr>
        <w:pStyle w:val="ListParagraph"/>
        <w:numPr>
          <w:ilvl w:val="0"/>
          <w:numId w:val="2"/>
        </w:numPr>
        <w:spacing w:after="100" w:line="276"/>
      </w:pPr>
      <w:r>
        <w:rPr>
          <w:rFonts w:ascii="Calibri" w:cs="Calibri" w:eastAsia="Calibri" w:hAnsi="Calibri"/>
          <w:sz w:val="22"/>
          <w:szCs w:val="22"/>
        </w:rPr>
        <w:t xml:space="preserve">Each member state is to start its transition and publish a national plan by the end of 2026</w:t>
      </w:r>
    </w:p>
    <w:p>
      <w:pPr>
        <w:pStyle w:val="ListParagraph"/>
        <w:numPr>
          <w:ilvl w:val="0"/>
          <w:numId w:val="2"/>
        </w:numPr>
        <w:spacing w:after="100" w:line="276"/>
      </w:pPr>
      <w:r>
        <w:rPr>
          <w:rFonts w:ascii="Calibri" w:cs="Calibri" w:eastAsia="Calibri" w:hAnsi="Calibri"/>
          <w:sz w:val="22"/>
          <w:szCs w:val="22"/>
        </w:rPr>
        <w:t xml:space="preserve">The roadmap sets the end of 2030 as the migration deadline for high-risk use cases and the end of 2035 for medium-risk ones</w:t>
      </w:r>
    </w:p>
    <w:p>
      <w:pPr>
        <w:pStyle w:val="ListParagraph"/>
        <w:numPr>
          <w:ilvl w:val="0"/>
          <w:numId w:val="2"/>
        </w:numPr>
        <w:spacing w:after="100" w:line="276"/>
      </w:pPr>
      <w:r>
        <w:rPr>
          <w:rFonts w:ascii="Calibri" w:cs="Calibri" w:eastAsia="Calibri" w:hAnsi="Calibri"/>
          <w:sz w:val="22"/>
          <w:szCs w:val="22"/>
        </w:rPr>
        <w:t xml:space="preserve">Under DORA's technical standards, financial entities must plan to update their cryptography as cryptanalysis develops, and the recitals name quantum advances</w:t>
      </w:r>
    </w:p>
    <w:p>
      <w:pPr>
        <w:pStyle w:val="ListParagraph"/>
        <w:numPr>
          <w:ilvl w:val="0"/>
          <w:numId w:val="2"/>
        </w:numPr>
        <w:spacing w:after="100" w:line="276"/>
      </w:pPr>
      <w:r>
        <w:rPr>
          <w:rFonts w:ascii="Calibri" w:cs="Calibri" w:eastAsia="Calibri" w:hAnsi="Calibri"/>
          <w:sz w:val="22"/>
          <w:szCs w:val="22"/>
        </w:rPr>
        <w:t xml:space="preserve">NIS2 requires essential and important entities to have policies on cryptography</w:t>
      </w:r>
    </w:p>
    <w:p>
      <w:pPr>
        <w:pStyle w:val="ListParagraph"/>
        <w:numPr>
          <w:ilvl w:val="0"/>
          <w:numId w:val="2"/>
        </w:numPr>
        <w:spacing w:after="100" w:line="276"/>
      </w:pPr>
      <w:r>
        <w:rPr>
          <w:rFonts w:ascii="Calibri" w:cs="Calibri" w:eastAsia="Calibri" w:hAnsi="Calibri"/>
          <w:sz w:val="22"/>
          <w:szCs w:val="22"/>
        </w:rPr>
        <w:t xml:space="preserve">The Cyber Resilience Act sets security requirements for products from December 2027</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with the instructor notes written out in place of the slides' bullet points, so it works as a reference afterward rather than a set of bullets I have to reconstruct from memory. It includes a reference table of the EU and national instruments covered, with their dates and sources.</w:t>
      </w:r>
    </w:p>
    <w:p>
      <w:pPr>
        <w:pStyle w:val="ListParagraph"/>
        <w:numPr>
          <w:ilvl w:val="0"/>
          <w:numId w:val="2"/>
        </w:numPr>
        <w:spacing w:after="100" w:line="276"/>
      </w:pPr>
      <w:r>
        <w:rPr>
          <w:rFonts w:ascii="Calibri" w:cs="Calibri" w:eastAsia="Calibri" w:hAnsi="Calibri"/>
          <w:sz w:val="22"/>
          <w:szCs w:val="22"/>
        </w:rPr>
        <w:t xml:space="preserve">A PDF copy of Quantum Ready (quantumready.com), the book on organizational readiness written by the course author, which the course is built on.</w:t>
      </w:r>
    </w:p>
    <w:p>
      <w:pPr>
        <w:pStyle w:val="ListParagraph"/>
        <w:numPr>
          <w:ilvl w:val="0"/>
          <w:numId w:val="2"/>
        </w:numPr>
        <w:spacing w:after="100" w:line="276"/>
      </w:pPr>
      <w:r>
        <w:rPr>
          <w:rFonts w:ascii="Calibri" w:cs="Calibri" w:eastAsia="Calibri" w:hAnsi="Calibri"/>
          <w:sz w:val="22"/>
          <w:szCs w:val="22"/>
        </w:rPr>
        <w:t xml:space="preserve">A Quantum Academy certificate of completion, which confirms that I completed the course. It is separate from Quantum Academy's professional certifications.</w:t>
      </w:r>
    </w:p>
    <w:p>
      <w:pPr>
        <w:pStyle w:val="ListParagraph"/>
        <w:numPr>
          <w:ilvl w:val="0"/>
          <w:numId w:val="2"/>
        </w:numPr>
        <w:spacing w:after="100" w:line="276"/>
      </w:pPr>
      <w:r>
        <w:rPr>
          <w:rFonts w:ascii="Calibri" w:cs="Calibri" w:eastAsia="Calibri" w:hAnsi="Calibri"/>
          <w:sz w:val="22"/>
          <w:szCs w:val="22"/>
        </w:rPr>
        <w:t xml:space="preserve">180 days of access to the online on-demand course, which is included with enrollment.</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The published prices for each format are below, and session dates and enrollment are on the course page linked at the end of this letter.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Format</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Price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Online on-demand</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US$249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Live online</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US$379</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In person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US$499</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Private team training</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Custom quote</w:t>
            </w:r>
          </w:p>
        </w:tc>
      </w:tr>
    </w:tbl>
    <w:p>
      <w:pPr>
        <w:spacing w:after="60" w:line="276"/>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keepNext/>
              <w:spacing w:after="0"/>
            </w:pPr>
            <w:r>
              <w:rPr>
                <w:rFonts w:ascii="Calibri" w:cs="Calibri" w:eastAsia="Calibri" w:hAnsi="Calibri"/>
                <w:b/>
                <w:bCs/>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Course fee for the format I have chosen</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[price from the table above]</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[amount]</w:t>
            </w:r>
          </w:p>
        </w:tc>
      </w:tr>
      <w:tr>
        <w:trPr>
          <w:cantSplit/>
        </w:trPr>
        <w:tc>
          <w:tcPr>
            <w:tcW w:type="dxa" w:w="600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keepNext/>
              <w:spacing w:after="0"/>
            </w:pPr>
            <w:r>
              <w:rPr>
                <w:rFonts w:ascii="Calibri" w:cs="Calibri" w:eastAsia="Calibri" w:hAnsi="Calibri"/>
                <w:b w:val="false"/>
                <w:bCs w:val="false"/>
                <w:sz w:val="22"/>
                <w:szCs w:val="22"/>
              </w:rPr>
              <w:t xml:space="preserve">[hours]</w:t>
            </w:r>
          </w:p>
        </w:tc>
      </w:tr>
      <w:tr>
        <w:trPr>
          <w:cantSplit/>
        </w:trP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https://quantumacademy.com/courses/pqc-compliance-eu/</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Compliance: European Union</dc:title>
  <dc:creator>Post-Quantum Institute</dc:creator>
  <dc:description>Training request letter for PQC Compliance: European Union, Quantum Academy.</dc:description>
  <cp:lastModifiedBy>Un-named</cp:lastModifiedBy>
  <cp:revision>1</cp:revision>
  <dcterms:created xsi:type="dcterms:W3CDTF">2026-10-18T20:01:27.449Z</dcterms:created>
  <dcterms:modified xsi:type="dcterms:W3CDTF">2026-10-18T20:01:27.449Z</dcterms:modified>
</cp:coreProperties>
</file>

<file path=docProps/custom.xml><?xml version="1.0" encoding="utf-8"?>
<Properties xmlns="http://schemas.openxmlformats.org/officeDocument/2006/custom-properties" xmlns:vt="http://schemas.openxmlformats.org/officeDocument/2006/docPropsVTypes"/>
</file>