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Compliance: Global Overview</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Compliance: Global Overview</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Compliance: Global Overview,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two-hour foundational course on the post-quantum rules set by governments and regulators worldwide. It covers who each rule binds, the dates that apply, and the evidence that shows our organization is on track.</w:t>
      </w:r>
    </w:p>
    <w:p>
      <w:pPr>
        <w:spacing w:after="100" w:line="276"/>
      </w:pPr>
      <w:r>
        <w:rPr>
          <w:rFonts w:ascii="Calibri" w:cs="Calibri" w:eastAsia="Calibri" w:hAnsi="Calibri"/>
          <w:sz w:val="22"/>
          <w:szCs w:val="22"/>
        </w:rPr>
        <w:t xml:space="preserve">The course has three modules:</w:t>
      </w:r>
    </w:p>
    <w:p>
      <w:pPr>
        <w:pStyle w:val="ListParagraph"/>
        <w:numPr>
          <w:ilvl w:val="0"/>
          <w:numId w:val="2"/>
        </w:numPr>
        <w:spacing w:after="100" w:line="276"/>
      </w:pPr>
      <w:r>
        <w:rPr>
          <w:rFonts w:ascii="Calibri" w:cs="Calibri" w:eastAsia="Calibri" w:hAnsi="Calibri"/>
          <w:sz w:val="22"/>
          <w:szCs w:val="22"/>
        </w:rPr>
        <w:t xml:space="preserve">Who the Rules Bind (40 minutes)</w:t>
      </w:r>
    </w:p>
    <w:p>
      <w:pPr>
        <w:pStyle w:val="ListParagraph"/>
        <w:numPr>
          <w:ilvl w:val="0"/>
          <w:numId w:val="2"/>
        </w:numPr>
        <w:spacing w:after="100" w:line="276"/>
      </w:pPr>
      <w:r>
        <w:rPr>
          <w:rFonts w:ascii="Calibri" w:cs="Calibri" w:eastAsia="Calibri" w:hAnsi="Calibri"/>
          <w:sz w:val="22"/>
          <w:szCs w:val="22"/>
        </w:rPr>
        <w:t xml:space="preserve">The Dates, Region by Region (45 minutes)</w:t>
      </w:r>
    </w:p>
    <w:p>
      <w:pPr>
        <w:pStyle w:val="ListParagraph"/>
        <w:numPr>
          <w:ilvl w:val="0"/>
          <w:numId w:val="2"/>
        </w:numPr>
        <w:spacing w:after="100" w:line="276"/>
      </w:pPr>
      <w:r>
        <w:rPr>
          <w:rFonts w:ascii="Calibri" w:cs="Calibri" w:eastAsia="Calibri" w:hAnsi="Calibri"/>
          <w:sz w:val="22"/>
          <w:szCs w:val="22"/>
        </w:rPr>
        <w:t xml:space="preserve">One Set of Evidence for Several Regulators (35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Identify the post-quantum requirements that apply to our organization in each country where we operate, and how each one applies to us</w:t>
      </w:r>
    </w:p>
    <w:p>
      <w:pPr>
        <w:pStyle w:val="ListParagraph"/>
        <w:numPr>
          <w:ilvl w:val="0"/>
          <w:numId w:val="2"/>
        </w:numPr>
        <w:spacing w:after="100" w:line="276"/>
      </w:pPr>
      <w:r>
        <w:rPr>
          <w:rFonts w:ascii="Calibri" w:cs="Calibri" w:eastAsia="Calibri" w:hAnsi="Calibri"/>
          <w:sz w:val="22"/>
          <w:szCs w:val="22"/>
        </w:rPr>
        <w:t xml:space="preserve">Compare national migration dates and explain where they converge and where they differ</w:t>
      </w:r>
    </w:p>
    <w:p>
      <w:pPr>
        <w:pStyle w:val="ListParagraph"/>
        <w:numPr>
          <w:ilvl w:val="0"/>
          <w:numId w:val="2"/>
        </w:numPr>
        <w:spacing w:after="100" w:line="276"/>
      </w:pPr>
      <w:r>
        <w:rPr>
          <w:rFonts w:ascii="Calibri" w:cs="Calibri" w:eastAsia="Calibri" w:hAnsi="Calibri"/>
          <w:sz w:val="22"/>
          <w:szCs w:val="22"/>
        </w:rPr>
        <w:t xml:space="preserve">Describe the evidence regulators expect, from the accountable owner to progress reports</w:t>
      </w:r>
    </w:p>
    <w:p>
      <w:pPr>
        <w:pStyle w:val="ListParagraph"/>
        <w:numPr>
          <w:ilvl w:val="0"/>
          <w:numId w:val="2"/>
        </w:numPr>
        <w:spacing w:after="100" w:line="276"/>
      </w:pPr>
      <w:r>
        <w:rPr>
          <w:rFonts w:ascii="Calibri" w:cs="Calibri" w:eastAsia="Calibri" w:hAnsi="Calibri"/>
          <w:sz w:val="22"/>
          <w:szCs w:val="22"/>
        </w:rPr>
        <w:t xml:space="preserve">Build one evidence pack that answers several regulators</w:t>
      </w:r>
    </w:p>
    <w:p>
      <w:pPr>
        <w:pStyle w:val="ListParagraph"/>
        <w:numPr>
          <w:ilvl w:val="0"/>
          <w:numId w:val="2"/>
        </w:numPr>
        <w:spacing w:after="100" w:line="276"/>
      </w:pPr>
      <w:r>
        <w:rPr>
          <w:rFonts w:ascii="Calibri" w:cs="Calibri" w:eastAsia="Calibri" w:hAnsi="Calibri"/>
          <w:sz w:val="22"/>
          <w:szCs w:val="22"/>
        </w:rPr>
        <w:t xml:space="preserve">Track pending rules and keep horizon scanning as a standing task</w:t>
      </w:r>
    </w:p>
    <w:p>
      <w:pPr>
        <w:pStyle w:val="ListParagraph"/>
        <w:numPr>
          <w:ilvl w:val="0"/>
          <w:numId w:val="2"/>
        </w:numPr>
        <w:spacing w:after="100" w:line="276"/>
      </w:pPr>
      <w:r>
        <w:rPr>
          <w:rFonts w:ascii="Calibri" w:cs="Calibri" w:eastAsia="Calibri" w:hAnsi="Calibri"/>
          <w:sz w:val="22"/>
          <w:szCs w:val="22"/>
        </w:rPr>
        <w:t xml:space="preserve">Brief our board on regulatory exposure without overstating the threat timeline</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In 2026, post-quantum migration moved from guidance to dated requirements in several jurisdictions</w:t>
      </w:r>
    </w:p>
    <w:p>
      <w:pPr>
        <w:pStyle w:val="ListParagraph"/>
        <w:numPr>
          <w:ilvl w:val="0"/>
          <w:numId w:val="2"/>
        </w:numPr>
        <w:spacing w:after="100" w:line="276"/>
      </w:pPr>
      <w:r>
        <w:rPr>
          <w:rFonts w:ascii="Calibri" w:cs="Calibri" w:eastAsia="Calibri" w:hAnsi="Calibri"/>
          <w:sz w:val="22"/>
          <w:szCs w:val="22"/>
        </w:rPr>
        <w:t xml:space="preserve">The United States set December 31, 2030 for key establishment in its high-value and high-impact federal systems</w:t>
      </w:r>
    </w:p>
    <w:p>
      <w:pPr>
        <w:pStyle w:val="ListParagraph"/>
        <w:numPr>
          <w:ilvl w:val="0"/>
          <w:numId w:val="2"/>
        </w:numPr>
        <w:spacing w:after="100" w:line="276"/>
      </w:pPr>
      <w:r>
        <w:rPr>
          <w:rFonts w:ascii="Calibri" w:cs="Calibri" w:eastAsia="Calibri" w:hAnsi="Calibri"/>
          <w:sz w:val="22"/>
          <w:szCs w:val="22"/>
        </w:rPr>
        <w:t xml:space="preserve">Singapore asked owners of critical information infrastructure for migration plans by March 31, 2027</w:t>
      </w:r>
    </w:p>
    <w:p>
      <w:pPr>
        <w:pStyle w:val="ListParagraph"/>
        <w:numPr>
          <w:ilvl w:val="0"/>
          <w:numId w:val="2"/>
        </w:numPr>
        <w:spacing w:after="100" w:line="276"/>
      </w:pPr>
      <w:r>
        <w:rPr>
          <w:rFonts w:ascii="Calibri" w:cs="Calibri" w:eastAsia="Calibri" w:hAnsi="Calibri"/>
          <w:sz w:val="22"/>
          <w:szCs w:val="22"/>
        </w:rPr>
        <w:t xml:space="preserve">The Saudi Central Bank gave financial institutions until December 31, 2026 to put cryptographic inventory procedures in place</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reference table of the rules covered, with their dates and sources.</w:t>
      </w:r>
    </w:p>
    <w:p>
      <w:pPr>
        <w:pStyle w:val="ListParagraph"/>
        <w:numPr>
          <w:ilvl w:val="0"/>
          <w:numId w:val="2"/>
        </w:numPr>
        <w:spacing w:after="100" w:line="276"/>
      </w:pPr>
      <w:r>
        <w:rPr>
          <w:rFonts w:ascii="Calibri" w:cs="Calibri" w:eastAsia="Calibri" w:hAnsi="Calibri"/>
          <w:sz w:val="22"/>
          <w:szCs w:val="22"/>
        </w:rPr>
        <w:t xml:space="preserve">A PDF copy of Quantum Ready (quantumready.com), the book on organizational readiness written by the course author, which the course is built on.</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US$249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US$379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US$499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https://quantumacademy.com/courses/pqc-compliance-global/</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Compliance: Global Overview</dc:title>
  <dc:creator>Post-Quantum Institute</dc:creator>
  <dc:description>Training request letter for PQC Compliance: Global Overview, Quantum Academy.</dc:description>
  <cp:lastModifiedBy>Un-named</cp:lastModifiedBy>
  <cp:revision>1</cp:revision>
  <dcterms:created xsi:type="dcterms:W3CDTF">2026-10-18T20:01:27.460Z</dcterms:created>
  <dcterms:modified xsi:type="dcterms:W3CDTF">2026-10-18T20:01:27.460Z</dcterms:modified>
</cp:coreProperties>
</file>

<file path=docProps/custom.xml><?xml version="1.0" encoding="utf-8"?>
<Properties xmlns="http://schemas.openxmlformats.org/officeDocument/2006/custom-properties" xmlns:vt="http://schemas.openxmlformats.org/officeDocument/2006/docPropsVTypes"/>
</file>