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Saudi Arabia</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Saudi Arabia</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Saudi Arabia,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Saudi Arabia's post-quantum requirements for SAMA-licensed institutions, government entities and critical national infrastructure. It covers SAMA's 2026 quantum circular, the NCA's cryptographic standards and controls, and the evidence supervisors will ask for.</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Saudi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Saudi Arabia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each requirement in SAMA's circular and its deadline</w:t>
      </w:r>
    </w:p>
    <w:p>
      <w:pPr>
        <w:pStyle w:val="ListParagraph"/>
        <w:numPr>
          <w:ilvl w:val="0"/>
          <w:numId w:val="2"/>
        </w:numPr>
        <w:spacing w:after="100" w:line="276"/>
      </w:pPr>
      <w:r>
        <w:rPr>
          <w:rFonts w:ascii="Calibri" w:cs="Calibri" w:eastAsia="Calibri" w:hAnsi="Calibri"/>
          <w:sz w:val="22"/>
          <w:szCs w:val="22"/>
        </w:rPr>
        <w:t xml:space="preserve">Build inventory procedures that meet the December 31, 2026 deadline</w:t>
      </w:r>
    </w:p>
    <w:p>
      <w:pPr>
        <w:pStyle w:val="ListParagraph"/>
        <w:numPr>
          <w:ilvl w:val="0"/>
          <w:numId w:val="2"/>
        </w:numPr>
        <w:spacing w:after="100" w:line="276"/>
      </w:pPr>
      <w:r>
        <w:rPr>
          <w:rFonts w:ascii="Calibri" w:cs="Calibri" w:eastAsia="Calibri" w:hAnsi="Calibri"/>
          <w:sz w:val="22"/>
          <w:szCs w:val="22"/>
        </w:rPr>
        <w:t xml:space="preserve">Run the enterprise quantum risk assessment due by March 31, 2027</w:t>
      </w:r>
    </w:p>
    <w:p>
      <w:pPr>
        <w:pStyle w:val="ListParagraph"/>
        <w:numPr>
          <w:ilvl w:val="0"/>
          <w:numId w:val="2"/>
        </w:numPr>
        <w:spacing w:after="100" w:line="276"/>
      </w:pPr>
      <w:r>
        <w:rPr>
          <w:rFonts w:ascii="Calibri" w:cs="Calibri" w:eastAsia="Calibri" w:hAnsi="Calibri"/>
          <w:sz w:val="22"/>
          <w:szCs w:val="22"/>
        </w:rPr>
        <w:t xml:space="preserve">Write remediation plans for priority assets, including third-party dependencies</w:t>
      </w:r>
    </w:p>
    <w:p>
      <w:pPr>
        <w:pStyle w:val="ListParagraph"/>
        <w:numPr>
          <w:ilvl w:val="0"/>
          <w:numId w:val="2"/>
        </w:numPr>
        <w:spacing w:after="100" w:line="276"/>
      </w:pPr>
      <w:r>
        <w:rPr>
          <w:rFonts w:ascii="Calibri" w:cs="Calibri" w:eastAsia="Calibri" w:hAnsi="Calibri"/>
          <w:sz w:val="22"/>
          <w:szCs w:val="22"/>
        </w:rPr>
        <w:t xml:space="preserve">Set up committee oversight of quantum risk as the circular requires</w:t>
      </w:r>
    </w:p>
    <w:p>
      <w:pPr>
        <w:pStyle w:val="ListParagraph"/>
        <w:numPr>
          <w:ilvl w:val="0"/>
          <w:numId w:val="2"/>
        </w:numPr>
        <w:spacing w:after="100" w:line="276"/>
      </w:pPr>
      <w:r>
        <w:rPr>
          <w:rFonts w:ascii="Calibri" w:cs="Calibri" w:eastAsia="Calibri" w:hAnsi="Calibri"/>
          <w:sz w:val="22"/>
          <w:szCs w:val="22"/>
        </w:rPr>
        <w:t xml:space="preserve">Apply the NCA's cryptographic standards and controls where they bind our organization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On August 27, 2026, the Saudi Central Bank (SAMA) issued Circular 482021280 on quantum computing risks</w:t>
      </w:r>
    </w:p>
    <w:p>
      <w:pPr>
        <w:pStyle w:val="ListParagraph"/>
        <w:numPr>
          <w:ilvl w:val="0"/>
          <w:numId w:val="2"/>
        </w:numPr>
        <w:spacing w:after="100" w:line="276"/>
      </w:pPr>
      <w:r>
        <w:rPr>
          <w:rFonts w:ascii="Calibri" w:cs="Calibri" w:eastAsia="Calibri" w:hAnsi="Calibri"/>
          <w:sz w:val="22"/>
          <w:szCs w:val="22"/>
        </w:rPr>
        <w:t xml:space="preserve">The circular applies to banks, finance and payment companies, credit information companies and financing support entities licensed by SAMA</w:t>
      </w:r>
    </w:p>
    <w:p>
      <w:pPr>
        <w:pStyle w:val="ListParagraph"/>
        <w:numPr>
          <w:ilvl w:val="0"/>
          <w:numId w:val="2"/>
        </w:numPr>
        <w:spacing w:after="100" w:line="276"/>
      </w:pPr>
      <w:r>
        <w:rPr>
          <w:rFonts w:ascii="Calibri" w:cs="Calibri" w:eastAsia="Calibri" w:hAnsi="Calibri"/>
          <w:sz w:val="22"/>
          <w:szCs w:val="22"/>
        </w:rPr>
        <w:t xml:space="preserve">By December 31, 2026, each institution must have complete procedures for identifying and classifying all its cryptographic assets</w:t>
      </w:r>
    </w:p>
    <w:p>
      <w:pPr>
        <w:pStyle w:val="ListParagraph"/>
        <w:numPr>
          <w:ilvl w:val="0"/>
          <w:numId w:val="2"/>
        </w:numPr>
        <w:spacing w:after="100" w:line="276"/>
      </w:pPr>
      <w:r>
        <w:rPr>
          <w:rFonts w:ascii="Calibri" w:cs="Calibri" w:eastAsia="Calibri" w:hAnsi="Calibri"/>
          <w:sz w:val="22"/>
          <w:szCs w:val="22"/>
        </w:rPr>
        <w:t xml:space="preserve">By March 31, 2027, each institution must complete an enterprise quantum risk assessment with action plans</w:t>
      </w:r>
    </w:p>
    <w:p>
      <w:pPr>
        <w:pStyle w:val="ListParagraph"/>
        <w:numPr>
          <w:ilvl w:val="0"/>
          <w:numId w:val="2"/>
        </w:numPr>
        <w:spacing w:after="100" w:line="276"/>
      </w:pPr>
      <w:r>
        <w:rPr>
          <w:rFonts w:ascii="Calibri" w:cs="Calibri" w:eastAsia="Calibri" w:hAnsi="Calibri"/>
          <w:sz w:val="22"/>
          <w:szCs w:val="22"/>
        </w:rPr>
        <w:t xml:space="preserve">The circular also requires remediation plans for priority assets</w:t>
      </w:r>
    </w:p>
    <w:p>
      <w:pPr>
        <w:pStyle w:val="ListParagraph"/>
        <w:numPr>
          <w:ilvl w:val="0"/>
          <w:numId w:val="2"/>
        </w:numPr>
        <w:spacing w:after="100" w:line="276"/>
      </w:pPr>
      <w:r>
        <w:rPr>
          <w:rFonts w:ascii="Calibri" w:cs="Calibri" w:eastAsia="Calibri" w:hAnsi="Calibri"/>
          <w:sz w:val="22"/>
          <w:szCs w:val="22"/>
        </w:rPr>
        <w:t xml:space="preserve">The circular makes quantum risk a standing item for the Information Security Supervisory Committee and the board risk committee</w:t>
      </w:r>
    </w:p>
    <w:p>
      <w:pPr>
        <w:pStyle w:val="ListParagraph"/>
        <w:numPr>
          <w:ilvl w:val="0"/>
          <w:numId w:val="2"/>
        </w:numPr>
        <w:spacing w:after="100" w:line="276"/>
      </w:pPr>
      <w:r>
        <w:rPr>
          <w:rFonts w:ascii="Calibri" w:cs="Calibri" w:eastAsia="Calibri" w:hAnsi="Calibri"/>
          <w:sz w:val="22"/>
          <w:szCs w:val="22"/>
        </w:rPr>
        <w:t xml:space="preserve">Algorithm requirements come from the National Cybersecurity Authority (NCA), whose draft update to the National Cryptographic Standards adds ML-KEM and ML-DSA</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Saudi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https://quantumacademy.com/courses/pqc-compliance-saudi-arabia/</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Saudi Arabia</dc:title>
  <dc:creator>Post-Quantum Institute</dc:creator>
  <dc:description>Training request letter for PQC Compliance: Saudi Arabia, Quantum Academy.</dc:description>
  <cp:lastModifiedBy>Un-named</cp:lastModifiedBy>
  <cp:revision>1</cp:revision>
  <dcterms:created xsi:type="dcterms:W3CDTF">2026-10-18T20:01:27.469Z</dcterms:created>
  <dcterms:modified xsi:type="dcterms:W3CDTF">2026-10-18T20:01:27.469Z</dcterms:modified>
</cp:coreProperties>
</file>

<file path=docProps/custom.xml><?xml version="1.0" encoding="utf-8"?>
<Properties xmlns="http://schemas.openxmlformats.org/officeDocument/2006/custom-properties" xmlns:vt="http://schemas.openxmlformats.org/officeDocument/2006/docPropsVTypes"/>
</file>