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Switzerland</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Switzerland</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Switzerland,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Switzerland's post-quantum expectations for banks, insurers, asset managers and financial market infrastructures. It covers FINMA Guidance 05/2026, its mid-2027 roadmap recommendation, federal guidance and the EU rules that apply to Swiss firms.</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Swiss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Switzerland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FINMA Guidance 05/2026 expects of our institution, and which existing FINMA rules it relies on</w:t>
      </w:r>
    </w:p>
    <w:p>
      <w:pPr>
        <w:pStyle w:val="ListParagraph"/>
        <w:numPr>
          <w:ilvl w:val="0"/>
          <w:numId w:val="2"/>
        </w:numPr>
        <w:spacing w:after="100" w:line="276"/>
      </w:pPr>
      <w:r>
        <w:rPr>
          <w:rFonts w:ascii="Calibri" w:cs="Calibri" w:eastAsia="Calibri" w:hAnsi="Calibri"/>
          <w:sz w:val="22"/>
          <w:szCs w:val="22"/>
        </w:rPr>
        <w:t xml:space="preserve">Draft a post-quantum strategy for board approval, and a roadmap ready by mid-2027</w:t>
      </w:r>
    </w:p>
    <w:p>
      <w:pPr>
        <w:pStyle w:val="ListParagraph"/>
        <w:numPr>
          <w:ilvl w:val="0"/>
          <w:numId w:val="2"/>
        </w:numPr>
        <w:spacing w:after="100" w:line="276"/>
      </w:pPr>
      <w:r>
        <w:rPr>
          <w:rFonts w:ascii="Calibri" w:cs="Calibri" w:eastAsia="Calibri" w:hAnsi="Calibri"/>
          <w:sz w:val="22"/>
          <w:szCs w:val="22"/>
        </w:rPr>
        <w:t xml:space="preserve">Scope the risk analysis across processes, systems, outsourced services and distributed ledgers</w:t>
      </w:r>
    </w:p>
    <w:p>
      <w:pPr>
        <w:pStyle w:val="ListParagraph"/>
        <w:numPr>
          <w:ilvl w:val="0"/>
          <w:numId w:val="2"/>
        </w:numPr>
        <w:spacing w:after="100" w:line="276"/>
      </w:pPr>
      <w:r>
        <w:rPr>
          <w:rFonts w:ascii="Calibri" w:cs="Calibri" w:eastAsia="Calibri" w:hAnsi="Calibri"/>
          <w:sz w:val="22"/>
          <w:szCs w:val="22"/>
        </w:rPr>
        <w:t xml:space="preserve">Rank data by how long it needs protection, and set migration priorities</w:t>
      </w:r>
    </w:p>
    <w:p>
      <w:pPr>
        <w:pStyle w:val="ListParagraph"/>
        <w:numPr>
          <w:ilvl w:val="0"/>
          <w:numId w:val="2"/>
        </w:numPr>
        <w:spacing w:after="100" w:line="276"/>
      </w:pPr>
      <w:r>
        <w:rPr>
          <w:rFonts w:ascii="Calibri" w:cs="Calibri" w:eastAsia="Calibri" w:hAnsi="Calibri"/>
          <w:sz w:val="22"/>
          <w:szCs w:val="22"/>
        </w:rPr>
        <w:t xml:space="preserve">Write crypto-agility requirements into procurement and outsourcing contracts</w:t>
      </w:r>
    </w:p>
    <w:p>
      <w:pPr>
        <w:pStyle w:val="ListParagraph"/>
        <w:numPr>
          <w:ilvl w:val="0"/>
          <w:numId w:val="2"/>
        </w:numPr>
        <w:spacing w:after="100" w:line="276"/>
      </w:pPr>
      <w:r>
        <w:rPr>
          <w:rFonts w:ascii="Calibri" w:cs="Calibri" w:eastAsia="Calibri" w:hAnsi="Calibri"/>
          <w:sz w:val="22"/>
          <w:szCs w:val="22"/>
        </w:rPr>
        <w:t xml:space="preserve">Report progress to our board, to FINMA and to our regulatory audit firm</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FINMA published Guidance 05/2026 on July 9, 2026, after surveying 60 supervised institutions about quantum risk</w:t>
      </w:r>
    </w:p>
    <w:p>
      <w:pPr>
        <w:pStyle w:val="ListParagraph"/>
        <w:numPr>
          <w:ilvl w:val="0"/>
          <w:numId w:val="2"/>
        </w:numPr>
        <w:spacing w:after="100" w:line="276"/>
      </w:pPr>
      <w:r>
        <w:rPr>
          <w:rFonts w:ascii="Calibri" w:cs="Calibri" w:eastAsia="Calibri" w:hAnsi="Calibri"/>
          <w:sz w:val="22"/>
          <w:szCs w:val="22"/>
        </w:rPr>
        <w:t xml:space="preserve">The guidance asks each institution to adopt a post-quantum strategy approved by its board, then set an implementation plan with milestones, priorities and target dates</w:t>
      </w:r>
    </w:p>
    <w:p>
      <w:pPr>
        <w:pStyle w:val="ListParagraph"/>
        <w:numPr>
          <w:ilvl w:val="0"/>
          <w:numId w:val="2"/>
        </w:numPr>
        <w:spacing w:after="100" w:line="276"/>
      </w:pPr>
      <w:r>
        <w:rPr>
          <w:rFonts w:ascii="Calibri" w:cs="Calibri" w:eastAsia="Calibri" w:hAnsi="Calibri"/>
          <w:sz w:val="22"/>
          <w:szCs w:val="22"/>
        </w:rPr>
        <w:t xml:space="preserve">FINMA recommends that institutions prepare a post-quantum roadmap by mid-2027</w:t>
      </w:r>
    </w:p>
    <w:p>
      <w:pPr>
        <w:pStyle w:val="ListParagraph"/>
        <w:numPr>
          <w:ilvl w:val="0"/>
          <w:numId w:val="2"/>
        </w:numPr>
        <w:spacing w:after="100" w:line="276"/>
      </w:pPr>
      <w:r>
        <w:rPr>
          <w:rFonts w:ascii="Calibri" w:cs="Calibri" w:eastAsia="Calibri" w:hAnsi="Calibri"/>
          <w:sz w:val="22"/>
          <w:szCs w:val="22"/>
        </w:rPr>
        <w:t xml:space="preserve">FINMA does not require an immediate migration</w:t>
      </w:r>
    </w:p>
    <w:p>
      <w:pPr>
        <w:pStyle w:val="ListParagraph"/>
        <w:numPr>
          <w:ilvl w:val="0"/>
          <w:numId w:val="2"/>
        </w:numPr>
        <w:spacing w:after="100" w:line="276"/>
      </w:pPr>
      <w:r>
        <w:rPr>
          <w:rFonts w:ascii="Calibri" w:cs="Calibri" w:eastAsia="Calibri" w:hAnsi="Calibri"/>
          <w:sz w:val="22"/>
          <w:szCs w:val="22"/>
        </w:rPr>
        <w:t xml:space="preserve">FINMA considers its existing principles on governance and risk management to cover quantum risk already, and it has said it will monitor the topic in supervision</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Swiss and EU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https://quantumacademy.com/courses/pqc-compliance-switzerland/</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Switzerland</dc:title>
  <dc:creator>Post-Quantum Institute</dc:creator>
  <dc:description>Training request letter for PQC Compliance: Switzerland, Quantum Academy.</dc:description>
  <cp:lastModifiedBy>Un-named</cp:lastModifiedBy>
  <cp:revision>1</cp:revision>
  <dcterms:created xsi:type="dcterms:W3CDTF">2026-10-18T20:01:27.487Z</dcterms:created>
  <dcterms:modified xsi:type="dcterms:W3CDTF">2026-10-18T20:01:27.487Z</dcterms:modified>
</cp:coreProperties>
</file>

<file path=docProps/custom.xml><?xml version="1.0" encoding="utf-8"?>
<Properties xmlns="http://schemas.openxmlformats.org/officeDocument/2006/custom-properties" xmlns:vt="http://schemas.openxmlformats.org/officeDocument/2006/docPropsVTypes"/>
</file>