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Compliance: United Kingdom</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Compliance: United Kingdom</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Compliance: United Kingdom,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two-hour foundational course on the UK's post-quantum expectations for government, critical national infrastructure and regulated firms. It covers the NCSC's 2028, 2031 and 2035 milestones, the G7 financial-sector roadmap, and the evidence regulators and auditors will ask for.</w:t>
      </w:r>
    </w:p>
    <w:p>
      <w:pPr>
        <w:spacing w:after="100" w:line="276"/>
      </w:pPr>
      <w:r>
        <w:rPr>
          <w:rFonts w:ascii="Calibri" w:cs="Calibri" w:eastAsia="Calibri" w:hAnsi="Calibri"/>
          <w:sz w:val="22"/>
          <w:szCs w:val="22"/>
        </w:rPr>
        <w:t xml:space="preserve">The course has three modules:</w:t>
      </w:r>
    </w:p>
    <w:p>
      <w:pPr>
        <w:pStyle w:val="ListParagraph"/>
        <w:numPr>
          <w:ilvl w:val="0"/>
          <w:numId w:val="2"/>
        </w:numPr>
        <w:spacing w:after="100" w:line="276"/>
      </w:pPr>
      <w:r>
        <w:rPr>
          <w:rFonts w:ascii="Calibri" w:cs="Calibri" w:eastAsia="Calibri" w:hAnsi="Calibri"/>
          <w:sz w:val="22"/>
          <w:szCs w:val="22"/>
        </w:rPr>
        <w:t xml:space="preserve">What Regulators Everywhere Ask For (30 minutes)</w:t>
      </w:r>
    </w:p>
    <w:p>
      <w:pPr>
        <w:pStyle w:val="ListParagraph"/>
        <w:numPr>
          <w:ilvl w:val="0"/>
          <w:numId w:val="2"/>
        </w:numPr>
        <w:spacing w:after="100" w:line="276"/>
      </w:pPr>
      <w:r>
        <w:rPr>
          <w:rFonts w:ascii="Calibri" w:cs="Calibri" w:eastAsia="Calibri" w:hAnsi="Calibri"/>
          <w:sz w:val="22"/>
          <w:szCs w:val="22"/>
        </w:rPr>
        <w:t xml:space="preserve">UK Requirements in Detail (60 minutes)</w:t>
      </w:r>
    </w:p>
    <w:p>
      <w:pPr>
        <w:pStyle w:val="ListParagraph"/>
        <w:numPr>
          <w:ilvl w:val="0"/>
          <w:numId w:val="2"/>
        </w:numPr>
        <w:spacing w:after="100" w:line="276"/>
      </w:pPr>
      <w:r>
        <w:rPr>
          <w:rFonts w:ascii="Calibri" w:cs="Calibri" w:eastAsia="Calibri" w:hAnsi="Calibri"/>
          <w:sz w:val="22"/>
          <w:szCs w:val="22"/>
        </w:rPr>
        <w:t xml:space="preserve">Demonstrating Compliance in the UK (30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the NCSC's 2028, 2031 and 2035 milestones and what each requires of our organization</w:t>
      </w:r>
    </w:p>
    <w:p>
      <w:pPr>
        <w:pStyle w:val="ListParagraph"/>
        <w:numPr>
          <w:ilvl w:val="0"/>
          <w:numId w:val="2"/>
        </w:numPr>
        <w:spacing w:after="100" w:line="276"/>
      </w:pPr>
      <w:r>
        <w:rPr>
          <w:rFonts w:ascii="Calibri" w:cs="Calibri" w:eastAsia="Calibri" w:hAnsi="Calibri"/>
          <w:sz w:val="22"/>
          <w:szCs w:val="22"/>
        </w:rPr>
        <w:t xml:space="preserve">Run discovery and planning that an auditor will accept in 2028</w:t>
      </w:r>
    </w:p>
    <w:p>
      <w:pPr>
        <w:pStyle w:val="ListParagraph"/>
        <w:numPr>
          <w:ilvl w:val="0"/>
          <w:numId w:val="2"/>
        </w:numPr>
        <w:spacing w:after="100" w:line="276"/>
      </w:pPr>
      <w:r>
        <w:rPr>
          <w:rFonts w:ascii="Calibri" w:cs="Calibri" w:eastAsia="Calibri" w:hAnsi="Calibri"/>
          <w:sz w:val="22"/>
          <w:szCs w:val="22"/>
        </w:rPr>
        <w:t xml:space="preserve">Apply the G7 financial-sector roadmap and operational resilience rules if we work in financial services</w:t>
      </w:r>
    </w:p>
    <w:p>
      <w:pPr>
        <w:pStyle w:val="ListParagraph"/>
        <w:numPr>
          <w:ilvl w:val="0"/>
          <w:numId w:val="2"/>
        </w:numPr>
        <w:spacing w:after="100" w:line="276"/>
      </w:pPr>
      <w:r>
        <w:rPr>
          <w:rFonts w:ascii="Calibri" w:cs="Calibri" w:eastAsia="Calibri" w:hAnsi="Calibri"/>
          <w:sz w:val="22"/>
          <w:szCs w:val="22"/>
        </w:rPr>
        <w:t xml:space="preserve">Assess what the Cyber Security and Resilience Bill changes for our organization and suppliers</w:t>
      </w:r>
    </w:p>
    <w:p>
      <w:pPr>
        <w:pStyle w:val="ListParagraph"/>
        <w:numPr>
          <w:ilvl w:val="0"/>
          <w:numId w:val="2"/>
        </w:numPr>
        <w:spacing w:after="100" w:line="276"/>
      </w:pPr>
      <w:r>
        <w:rPr>
          <w:rFonts w:ascii="Calibri" w:cs="Calibri" w:eastAsia="Calibri" w:hAnsi="Calibri"/>
          <w:sz w:val="22"/>
          <w:szCs w:val="22"/>
        </w:rPr>
        <w:t xml:space="preserve">Choose and brief an NCSC-assured consultancy if we need outside help</w:t>
      </w:r>
    </w:p>
    <w:p>
      <w:pPr>
        <w:pStyle w:val="ListParagraph"/>
        <w:numPr>
          <w:ilvl w:val="0"/>
          <w:numId w:val="2"/>
        </w:numPr>
        <w:spacing w:after="100" w:line="276"/>
      </w:pPr>
      <w:r>
        <w:rPr>
          <w:rFonts w:ascii="Calibri" w:cs="Calibri" w:eastAsia="Calibri" w:hAnsi="Calibri"/>
          <w:sz w:val="22"/>
          <w:szCs w:val="22"/>
        </w:rPr>
        <w:t xml:space="preserve">Report progress to our board against the NCSC milestones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The NCSC set the UK timeline in March 2025</w:t>
      </w:r>
    </w:p>
    <w:p>
      <w:pPr>
        <w:pStyle w:val="ListParagraph"/>
        <w:numPr>
          <w:ilvl w:val="0"/>
          <w:numId w:val="2"/>
        </w:numPr>
        <w:spacing w:after="100" w:line="276"/>
      </w:pPr>
      <w:r>
        <w:rPr>
          <w:rFonts w:ascii="Calibri" w:cs="Calibri" w:eastAsia="Calibri" w:hAnsi="Calibri"/>
          <w:sz w:val="22"/>
          <w:szCs w:val="22"/>
        </w:rPr>
        <w:t xml:space="preserve">By 2028, organizations should define migration goals, finish discovery and build an initial plan</w:t>
      </w:r>
    </w:p>
    <w:p>
      <w:pPr>
        <w:pStyle w:val="ListParagraph"/>
        <w:numPr>
          <w:ilvl w:val="0"/>
          <w:numId w:val="2"/>
        </w:numPr>
        <w:spacing w:after="100" w:line="276"/>
      </w:pPr>
      <w:r>
        <w:rPr>
          <w:rFonts w:ascii="Calibri" w:cs="Calibri" w:eastAsia="Calibri" w:hAnsi="Calibri"/>
          <w:sz w:val="22"/>
          <w:szCs w:val="22"/>
        </w:rPr>
        <w:t xml:space="preserve">By 2031, organizations should complete their highest-priority migrations</w:t>
      </w:r>
    </w:p>
    <w:p>
      <w:pPr>
        <w:pStyle w:val="ListParagraph"/>
        <w:numPr>
          <w:ilvl w:val="0"/>
          <w:numId w:val="2"/>
        </w:numPr>
        <w:spacing w:after="100" w:line="276"/>
      </w:pPr>
      <w:r>
        <w:rPr>
          <w:rFonts w:ascii="Calibri" w:cs="Calibri" w:eastAsia="Calibri" w:hAnsi="Calibri"/>
          <w:sz w:val="22"/>
          <w:szCs w:val="22"/>
        </w:rPr>
        <w:t xml:space="preserve">By 2035, organizations should complete migration across all systems, services and products</w:t>
      </w:r>
    </w:p>
    <w:p>
      <w:pPr>
        <w:pStyle w:val="ListParagraph"/>
        <w:numPr>
          <w:ilvl w:val="0"/>
          <w:numId w:val="2"/>
        </w:numPr>
        <w:spacing w:after="100" w:line="276"/>
      </w:pPr>
      <w:r>
        <w:rPr>
          <w:rFonts w:ascii="Calibri" w:cs="Calibri" w:eastAsia="Calibri" w:hAnsi="Calibri"/>
          <w:sz w:val="22"/>
          <w:szCs w:val="22"/>
        </w:rPr>
        <w:t xml:space="preserve">The NCSC timeline is guidance, and UK organizations use it as the reference point for audits, contracts and conversations with regulators</w:t>
      </w:r>
    </w:p>
    <w:p>
      <w:pPr>
        <w:pStyle w:val="ListParagraph"/>
        <w:numPr>
          <w:ilvl w:val="0"/>
          <w:numId w:val="2"/>
        </w:numPr>
        <w:spacing w:after="100" w:line="276"/>
      </w:pPr>
      <w:r>
        <w:rPr>
          <w:rFonts w:ascii="Calibri" w:cs="Calibri" w:eastAsia="Calibri" w:hAnsi="Calibri"/>
          <w:sz w:val="22"/>
          <w:szCs w:val="22"/>
        </w:rPr>
        <w:t xml:space="preserve">In January 2026, HM Treasury published the G7 Cyber Expert Group's roadmap for the financial sector</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reference table of the UK instruments covered, with their dates and sources.</w:t>
      </w:r>
    </w:p>
    <w:p>
      <w:pPr>
        <w:pStyle w:val="ListParagraph"/>
        <w:numPr>
          <w:ilvl w:val="0"/>
          <w:numId w:val="2"/>
        </w:numPr>
        <w:spacing w:after="100" w:line="276"/>
      </w:pPr>
      <w:r>
        <w:rPr>
          <w:rFonts w:ascii="Calibri" w:cs="Calibri" w:eastAsia="Calibri" w:hAnsi="Calibri"/>
          <w:sz w:val="22"/>
          <w:szCs w:val="22"/>
        </w:rPr>
        <w:t xml:space="preserve">A PDF copy of Quantum Ready (quantumready.com), the book on organizational readiness written by the course author, which the course is built on.</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US$249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US$379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US$499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https://quantumacademy.com/courses/pqc-compliance-uk/</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Compliance: United Kingdom</dc:title>
  <dc:creator>Post-Quantum Institute</dc:creator>
  <dc:description>Training request letter for PQC Compliance: United Kingdom, Quantum Academy.</dc:description>
  <cp:lastModifiedBy>Un-named</cp:lastModifiedBy>
  <cp:revision>1</cp:revision>
  <dcterms:created xsi:type="dcterms:W3CDTF">2026-10-18T20:01:27.507Z</dcterms:created>
  <dcterms:modified xsi:type="dcterms:W3CDTF">2026-10-18T20:01:27.507Z</dcterms:modified>
</cp:coreProperties>
</file>

<file path=docProps/custom.xml><?xml version="1.0" encoding="utf-8"?>
<Properties xmlns="http://schemas.openxmlformats.org/officeDocument/2006/custom-properties" xmlns:vt="http://schemas.openxmlformats.org/officeDocument/2006/docPropsVTypes"/>
</file>