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Chemicals and Materials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Chemicals and Materials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Chemicals and Materials,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quantum technology in chemicals and materials, the industry where Quantum Academy sees the strongest case for quantum advantage. It covers catalysts, battery materials and correlated materials, how to read a resource estimate,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Simulation of Molecules and Materials (75 minutes)</w:t>
      </w:r>
    </w:p>
    <w:p>
      <w:pPr>
        <w:pStyle w:val="ListParagraph"/>
        <w:numPr>
          <w:ilvl w:val="0"/>
          <w:numId w:val="2"/>
        </w:numPr>
        <w:spacing w:after="100" w:line="276"/>
      </w:pPr>
      <w:r>
        <w:rPr>
          <w:rFonts w:ascii="Calibri" w:cs="Calibri" w:eastAsia="Calibri" w:hAnsi="Calibri"/>
          <w:sz w:val="22"/>
          <w:szCs w:val="22"/>
        </w:rPr>
        <w:t xml:space="preserve">Hybrid Workflows, Sensing and Data (45 minutes)</w:t>
      </w:r>
    </w:p>
    <w:p>
      <w:pPr>
        <w:pStyle w:val="ListParagraph"/>
        <w:numPr>
          <w:ilvl w:val="0"/>
          <w:numId w:val="2"/>
        </w:numPr>
        <w:spacing w:after="100" w:line="276"/>
      </w:pPr>
      <w:r>
        <w:rPr>
          <w:rFonts w:ascii="Calibri" w:cs="Calibri" w:eastAsia="Calibri" w:hAnsi="Calibri"/>
          <w:sz w:val="22"/>
          <w:szCs w:val="22"/>
        </w:rPr>
        <w:t xml:space="preserve">What Chemical and Materials Companies Are Doing (30 minutes)</w:t>
      </w:r>
    </w:p>
    <w:p>
      <w:pPr>
        <w:pStyle w:val="ListParagraph"/>
        <w:numPr>
          <w:ilvl w:val="0"/>
          <w:numId w:val="2"/>
        </w:numPr>
        <w:spacing w:after="100" w:line="276"/>
      </w:pPr>
      <w:r>
        <w:rPr>
          <w:rFonts w:ascii="Calibri" w:cs="Calibri" w:eastAsia="Calibri" w:hAnsi="Calibri"/>
          <w:sz w:val="22"/>
          <w:szCs w:val="22"/>
        </w:rPr>
        <w:t xml:space="preserve">Preparing Now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why chemistry has the strongest case for quantum advantage, and where that case ends</w:t>
      </w:r>
    </w:p>
    <w:p>
      <w:pPr>
        <w:pStyle w:val="ListParagraph"/>
        <w:numPr>
          <w:ilvl w:val="0"/>
          <w:numId w:val="2"/>
        </w:numPr>
        <w:spacing w:after="100" w:line="276"/>
      </w:pPr>
      <w:r>
        <w:rPr>
          <w:rFonts w:ascii="Calibri" w:cs="Calibri" w:eastAsia="Calibri" w:hAnsi="Calibri"/>
          <w:sz w:val="22"/>
          <w:szCs w:val="22"/>
        </w:rPr>
        <w:t xml:space="preserve">Read a resource estimate and judge when a target molecule becomes feasible</w:t>
      </w:r>
    </w:p>
    <w:p>
      <w:pPr>
        <w:pStyle w:val="ListParagraph"/>
        <w:numPr>
          <w:ilvl w:val="0"/>
          <w:numId w:val="2"/>
        </w:numPr>
        <w:spacing w:after="100" w:line="276"/>
      </w:pPr>
      <w:r>
        <w:rPr>
          <w:rFonts w:ascii="Calibri" w:cs="Calibri" w:eastAsia="Calibri" w:hAnsi="Calibri"/>
          <w:sz w:val="22"/>
          <w:szCs w:val="22"/>
        </w:rPr>
        <w:t xml:space="preserve">Tell a gain over earlier quantum methods from a gain over the best classical method</w:t>
      </w:r>
    </w:p>
    <w:p>
      <w:pPr>
        <w:pStyle w:val="ListParagraph"/>
        <w:numPr>
          <w:ilvl w:val="0"/>
          <w:numId w:val="2"/>
        </w:numPr>
        <w:spacing w:after="100" w:line="276"/>
      </w:pPr>
      <w:r>
        <w:rPr>
          <w:rFonts w:ascii="Calibri" w:cs="Calibri" w:eastAsia="Calibri" w:hAnsi="Calibri"/>
          <w:sz w:val="22"/>
          <w:szCs w:val="22"/>
        </w:rPr>
        <w:t xml:space="preserve">Identify the problems in our portfolio that are candidates for quantum simulation</w:t>
      </w:r>
    </w:p>
    <w:p>
      <w:pPr>
        <w:pStyle w:val="ListParagraph"/>
        <w:numPr>
          <w:ilvl w:val="0"/>
          <w:numId w:val="2"/>
        </w:numPr>
        <w:spacing w:after="100" w:line="276"/>
      </w:pPr>
      <w:r>
        <w:rPr>
          <w:rFonts w:ascii="Calibri" w:cs="Calibri" w:eastAsia="Calibri" w:hAnsi="Calibri"/>
          <w:sz w:val="22"/>
          <w:szCs w:val="22"/>
        </w:rPr>
        <w:t xml:space="preserve">Compare quantum simulation with the AI and HPC methods advancing in parallel</w:t>
      </w:r>
    </w:p>
    <w:p>
      <w:pPr>
        <w:pStyle w:val="ListParagraph"/>
        <w:numPr>
          <w:ilvl w:val="0"/>
          <w:numId w:val="2"/>
        </w:numPr>
        <w:spacing w:after="100" w:line="276"/>
      </w:pPr>
      <w:r>
        <w:rPr>
          <w:rFonts w:ascii="Calibri" w:cs="Calibri" w:eastAsia="Calibri" w:hAnsi="Calibri"/>
          <w:sz w:val="22"/>
          <w:szCs w:val="22"/>
        </w:rPr>
        <w:t xml:space="preserve">Plan the skills, workflows and partnerships to have in place by the end of the decade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Catalysts, battery materials and many industrial reactions depend on strongly correlated electrons, which classical methods model poorly</w:t>
      </w:r>
    </w:p>
    <w:p>
      <w:pPr>
        <w:pStyle w:val="ListParagraph"/>
        <w:numPr>
          <w:ilvl w:val="0"/>
          <w:numId w:val="2"/>
        </w:numPr>
        <w:spacing w:after="100" w:line="276"/>
      </w:pPr>
      <w:r>
        <w:rPr>
          <w:rFonts w:ascii="Calibri" w:cs="Calibri" w:eastAsia="Calibri" w:hAnsi="Calibri"/>
          <w:sz w:val="22"/>
          <w:szCs w:val="22"/>
        </w:rPr>
        <w:t xml:space="preserve">In eight years, resource estimates for FeMoco, the catalyst behind biological nitrogen fixation, fell by about five orders of magnitude</w:t>
      </w:r>
    </w:p>
    <w:p>
      <w:pPr>
        <w:pStyle w:val="ListParagraph"/>
        <w:numPr>
          <w:ilvl w:val="0"/>
          <w:numId w:val="2"/>
        </w:numPr>
        <w:spacing w:after="100" w:line="276"/>
      </w:pPr>
      <w:r>
        <w:rPr>
          <w:rFonts w:ascii="Calibri" w:cs="Calibri" w:eastAsia="Calibri" w:hAnsi="Calibri"/>
          <w:sz w:val="22"/>
          <w:szCs w:val="22"/>
        </w:rPr>
        <w:t xml:space="preserve">A 2025 Google estimate puts FeMoco at about 1,500 logical qubits, within the 2,000-logical-qubit range IBM targets for its Blue Jay system, dated 2033 or later</w:t>
      </w:r>
    </w:p>
    <w:p>
      <w:pPr>
        <w:pStyle w:val="ListParagraph"/>
        <w:numPr>
          <w:ilvl w:val="0"/>
          <w:numId w:val="2"/>
        </w:numPr>
        <w:spacing w:after="100" w:line="276"/>
      </w:pPr>
      <w:r>
        <w:rPr>
          <w:rFonts w:ascii="Calibri" w:cs="Calibri" w:eastAsia="Calibri" w:hAnsi="Calibri"/>
          <w:sz w:val="22"/>
          <w:szCs w:val="22"/>
        </w:rPr>
        <w:t xml:space="preserve">Most chemistry will keep running on classical computers and AI, and Quantum Academy expects the first quantum results on specific problems: catalysts, battery cathodes, photosensitizers and correlated materials</w:t>
      </w:r>
    </w:p>
    <w:p>
      <w:pPr>
        <w:pStyle w:val="ListParagraph"/>
        <w:numPr>
          <w:ilvl w:val="0"/>
          <w:numId w:val="2"/>
        </w:numPr>
        <w:spacing w:after="100" w:line="276"/>
      </w:pPr>
      <w:r>
        <w:rPr>
          <w:rFonts w:ascii="Calibri" w:cs="Calibri" w:eastAsia="Calibri" w:hAnsi="Calibri"/>
          <w:sz w:val="22"/>
          <w:szCs w:val="22"/>
        </w:rPr>
        <w:t xml:space="preserve">Quantum Academy estimates that building the skills and workflows to use those results takes two to five years</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R&amp;D leadership,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https://quantumacademy.com/courses/quantum-technology-chemicals-materials/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Chemicals and Materials</dc:title>
  <dc:creator>Post-Quantum Institute</dc:creator>
  <dc:description>Training request letter for Quantum Technology for Chemicals and Materials, Quantum Academy.</dc:description>
  <cp:lastModifiedBy>Un-named</cp:lastModifiedBy>
  <cp:revision>1</cp:revision>
  <dcterms:created xsi:type="dcterms:W3CDTF">2026-10-18T20:01:27.940Z</dcterms:created>
  <dcterms:modified xsi:type="dcterms:W3CDTF">2026-10-18T20:01:27.940Z</dcterms:modified>
</cp:coreProperties>
</file>

<file path=docProps/custom.xml><?xml version="1.0" encoding="utf-8"?>
<Properties xmlns="http://schemas.openxmlformats.org/officeDocument/2006/custom-properties" xmlns:vt="http://schemas.openxmlformats.org/officeDocument/2006/docPropsVTypes"/>
</file>