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Health and Life Sciences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Health and Life Sciences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Health and Life Sciences,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in health and life sciences. It covers quantum computing for drug discovery, quantum sensing in medicine and the protection of health data, with the status of each use case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Computing for Drug Discovery (75 minutes)</w:t>
      </w:r>
    </w:p>
    <w:p>
      <w:pPr>
        <w:pStyle w:val="ListParagraph"/>
        <w:numPr>
          <w:ilvl w:val="0"/>
          <w:numId w:val="2"/>
        </w:numPr>
        <w:spacing w:after="100" w:line="276"/>
      </w:pPr>
      <w:r>
        <w:rPr>
          <w:rFonts w:ascii="Calibri" w:cs="Calibri" w:eastAsia="Calibri" w:hAnsi="Calibri"/>
          <w:sz w:val="22"/>
          <w:szCs w:val="22"/>
        </w:rPr>
        <w:t xml:space="preserve">Quantum Sensing and Health Data (45 minutes)</w:t>
      </w:r>
    </w:p>
    <w:p>
      <w:pPr>
        <w:pStyle w:val="ListParagraph"/>
        <w:numPr>
          <w:ilvl w:val="0"/>
          <w:numId w:val="2"/>
        </w:numPr>
        <w:spacing w:after="100" w:line="276"/>
      </w:pPr>
      <w:r>
        <w:rPr>
          <w:rFonts w:ascii="Calibri" w:cs="Calibri" w:eastAsia="Calibri" w:hAnsi="Calibri"/>
          <w:sz w:val="22"/>
          <w:szCs w:val="22"/>
        </w:rPr>
        <w:t xml:space="preserve">What Pharma and Health Systems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computing, sensing and networking can and cannot do for health and life sciences today</w:t>
      </w:r>
    </w:p>
    <w:p>
      <w:pPr>
        <w:pStyle w:val="ListParagraph"/>
        <w:numPr>
          <w:ilvl w:val="0"/>
          <w:numId w:val="2"/>
        </w:numPr>
        <w:spacing w:after="100" w:line="276"/>
      </w:pPr>
      <w:r>
        <w:rPr>
          <w:rFonts w:ascii="Calibri" w:cs="Calibri" w:eastAsia="Calibri" w:hAnsi="Calibri"/>
          <w:sz w:val="22"/>
          <w:szCs w:val="22"/>
        </w:rPr>
        <w:t xml:space="preserve">Read a resource estimate for a target molecule and judge when it might become feasible</w:t>
      </w:r>
    </w:p>
    <w:p>
      <w:pPr>
        <w:pStyle w:val="ListParagraph"/>
        <w:numPr>
          <w:ilvl w:val="0"/>
          <w:numId w:val="2"/>
        </w:numPr>
        <w:spacing w:after="100" w:line="276"/>
      </w:pPr>
      <w:r>
        <w:rPr>
          <w:rFonts w:ascii="Calibri" w:cs="Calibri" w:eastAsia="Calibri" w:hAnsi="Calibri"/>
          <w:sz w:val="22"/>
          <w:szCs w:val="22"/>
        </w:rPr>
        <w:t xml:space="preserve">Tell a hardware result from an announcement or an estimate, and a gain over earlier quantum methods from a gain over classical ones</w:t>
      </w:r>
    </w:p>
    <w:p>
      <w:pPr>
        <w:pStyle w:val="ListParagraph"/>
        <w:numPr>
          <w:ilvl w:val="0"/>
          <w:numId w:val="2"/>
        </w:numPr>
        <w:spacing w:after="100" w:line="276"/>
      </w:pPr>
      <w:r>
        <w:rPr>
          <w:rFonts w:ascii="Calibri" w:cs="Calibri" w:eastAsia="Calibri" w:hAnsi="Calibri"/>
          <w:sz w:val="22"/>
          <w:szCs w:val="22"/>
        </w:rPr>
        <w:t xml:space="preserve">Identify the molecular problems in our pipeline that are candidates for quantum simulation</w:t>
      </w:r>
    </w:p>
    <w:p>
      <w:pPr>
        <w:pStyle w:val="ListParagraph"/>
        <w:numPr>
          <w:ilvl w:val="0"/>
          <w:numId w:val="2"/>
        </w:numPr>
        <w:spacing w:after="100" w:line="276"/>
      </w:pPr>
      <w:r>
        <w:rPr>
          <w:rFonts w:ascii="Calibri" w:cs="Calibri" w:eastAsia="Calibri" w:hAnsi="Calibri"/>
          <w:sz w:val="22"/>
          <w:szCs w:val="22"/>
        </w:rPr>
        <w:t xml:space="preserve">Assess quantum sensing devices by their clinical evidence and regulatory status</w:t>
      </w:r>
    </w:p>
    <w:p>
      <w:pPr>
        <w:pStyle w:val="ListParagraph"/>
        <w:numPr>
          <w:ilvl w:val="0"/>
          <w:numId w:val="2"/>
        </w:numPr>
        <w:spacing w:after="100" w:line="276"/>
      </w:pPr>
      <w:r>
        <w:rPr>
          <w:rFonts w:ascii="Calibri" w:cs="Calibri" w:eastAsia="Calibri" w:hAnsi="Calibri"/>
          <w:sz w:val="22"/>
          <w:szCs w:val="22"/>
        </w:rPr>
        <w:t xml:space="preserve">Plan skills, partnerships and data protection for the next five years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In 2026, Cleveland Clinic, RIKEN and IBM modelled a 12,635-atom protein–drug complex using an IBM quantum processor alongside the Fugaku supercomputer</w:t>
      </w:r>
    </w:p>
    <w:p>
      <w:pPr>
        <w:pStyle w:val="ListParagraph"/>
        <w:numPr>
          <w:ilvl w:val="0"/>
          <w:numId w:val="2"/>
        </w:numPr>
        <w:spacing w:after="100" w:line="276"/>
      </w:pPr>
      <w:r>
        <w:rPr>
          <w:rFonts w:ascii="Calibri" w:cs="Calibri" w:eastAsia="Calibri" w:hAnsi="Calibri"/>
          <w:sz w:val="22"/>
          <w:szCs w:val="22"/>
        </w:rPr>
        <w:t xml:space="preserve">In 2025, AstraZeneca, IonQ, AWS and NVIDIA ran a step of a reaction widely used in drug synthesis</w:t>
      </w:r>
    </w:p>
    <w:p>
      <w:pPr>
        <w:pStyle w:val="ListParagraph"/>
        <w:numPr>
          <w:ilvl w:val="0"/>
          <w:numId w:val="2"/>
        </w:numPr>
        <w:spacing w:after="100" w:line="276"/>
      </w:pPr>
      <w:r>
        <w:rPr>
          <w:rFonts w:ascii="Calibri" w:cs="Calibri" w:eastAsia="Calibri" w:hAnsi="Calibri"/>
          <w:sz w:val="22"/>
          <w:szCs w:val="22"/>
        </w:rPr>
        <w:t xml:space="preserve">IBM says its protein work does not yet beat the best classical methods, and none of these results claims to</w:t>
      </w:r>
    </w:p>
    <w:p>
      <w:pPr>
        <w:pStyle w:val="ListParagraph"/>
        <w:numPr>
          <w:ilvl w:val="0"/>
          <w:numId w:val="2"/>
        </w:numPr>
        <w:spacing w:after="100" w:line="276"/>
      </w:pPr>
      <w:r>
        <w:rPr>
          <w:rFonts w:ascii="Calibri" w:cs="Calibri" w:eastAsia="Calibri" w:hAnsi="Calibri"/>
          <w:sz w:val="22"/>
          <w:szCs w:val="22"/>
        </w:rPr>
        <w:t xml:space="preserve">The clearest computing advantage is in strongly correlated chemistry, such as the cytochrome P450 enzymes that handle most drug metabolism</w:t>
      </w:r>
    </w:p>
    <w:p>
      <w:pPr>
        <w:pStyle w:val="ListParagraph"/>
        <w:numPr>
          <w:ilvl w:val="0"/>
          <w:numId w:val="2"/>
        </w:numPr>
        <w:spacing w:after="100" w:line="276"/>
      </w:pPr>
      <w:r>
        <w:rPr>
          <w:rFonts w:ascii="Calibri" w:cs="Calibri" w:eastAsia="Calibri" w:hAnsi="Calibri"/>
          <w:sz w:val="22"/>
          <w:szCs w:val="22"/>
        </w:rPr>
        <w:t xml:space="preserve">On published estimates, simulating a P450 active site needs roughly 1,000 to 4,900 logical qubits, and Quantum Academy expects the first partial simulations around 2031–2033</w:t>
      </w:r>
    </w:p>
    <w:p>
      <w:pPr>
        <w:pStyle w:val="ListParagraph"/>
        <w:numPr>
          <w:ilvl w:val="0"/>
          <w:numId w:val="2"/>
        </w:numPr>
        <w:spacing w:after="100" w:line="276"/>
      </w:pPr>
      <w:r>
        <w:rPr>
          <w:rFonts w:ascii="Calibri" w:cs="Calibri" w:eastAsia="Calibri" w:hAnsi="Calibri"/>
          <w:sz w:val="22"/>
          <w:szCs w:val="22"/>
        </w:rPr>
        <w:t xml:space="preserve">Quantum sensing and related spin technologies are closer to patients: hyperpolarized xenon MRI of the lungs has FDA approval, and wearable brain scanners are in clinical studies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R&amp;D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https://quantumacademy.com/courses/quantum-technology-health-life-sciences/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Health and Life Sciences</dc:title>
  <dc:creator>Post-Quantum Institute</dc:creator>
  <dc:description>Training request letter for Quantum Technology for Health and Life Sciences, Quantum Academy.</dc:description>
  <cp:lastModifiedBy>Un-named</cp:lastModifiedBy>
  <cp:revision>1</cp:revision>
  <dcterms:created xsi:type="dcterms:W3CDTF">2026-10-18T20:01:28.005Z</dcterms:created>
  <dcterms:modified xsi:type="dcterms:W3CDTF">2026-10-18T20:01:28.005Z</dcterms:modified>
</cp:coreProperties>
</file>

<file path=docProps/custom.xml><?xml version="1.0" encoding="utf-8"?>
<Properties xmlns="http://schemas.openxmlformats.org/officeDocument/2006/custom-properties" xmlns:vt="http://schemas.openxmlformats.org/officeDocument/2006/docPropsVTypes"/>
</file>